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5F6B" w14:textId="77777777" w:rsidR="00EA1647" w:rsidRDefault="00EA1647" w:rsidP="00EA1647">
      <w:pPr>
        <w:spacing w:line="276" w:lineRule="auto"/>
        <w:ind w:right="-1"/>
        <w:jc w:val="center"/>
        <w:rPr>
          <w:rFonts w:ascii="Arial" w:hAnsi="Arial" w:cs="Arial"/>
          <w:b/>
          <w:sz w:val="22"/>
          <w:szCs w:val="22"/>
        </w:rPr>
      </w:pPr>
      <w:r>
        <w:rPr>
          <w:rFonts w:ascii="Arial" w:hAnsi="Arial" w:cs="Arial"/>
          <w:b/>
          <w:noProof/>
          <w:sz w:val="22"/>
          <w:szCs w:val="22"/>
        </w:rPr>
        <w:drawing>
          <wp:inline distT="0" distB="0" distL="0" distR="0" wp14:anchorId="57115FF2" wp14:editId="57115FF3">
            <wp:extent cx="771525" cy="7429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Obc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742950"/>
                    </a:xfrm>
                    <a:prstGeom prst="rect">
                      <a:avLst/>
                    </a:prstGeom>
                  </pic:spPr>
                </pic:pic>
              </a:graphicData>
            </a:graphic>
          </wp:inline>
        </w:drawing>
      </w:r>
    </w:p>
    <w:p w14:paraId="57115F6C" w14:textId="77777777" w:rsidR="00EA1647" w:rsidRPr="00EA1647" w:rsidRDefault="00EA1647" w:rsidP="00EA1647">
      <w:pPr>
        <w:spacing w:line="276" w:lineRule="auto"/>
        <w:ind w:right="-1"/>
        <w:jc w:val="center"/>
        <w:rPr>
          <w:rFonts w:ascii="Arial" w:hAnsi="Arial" w:cs="Arial"/>
          <w:b/>
          <w:color w:val="3333FF"/>
          <w:sz w:val="22"/>
          <w:szCs w:val="22"/>
        </w:rPr>
      </w:pPr>
      <w:r w:rsidRPr="00EA1647">
        <w:rPr>
          <w:rFonts w:ascii="Arial" w:hAnsi="Arial" w:cs="Arial"/>
          <w:b/>
          <w:color w:val="3333FF"/>
          <w:sz w:val="22"/>
          <w:szCs w:val="22"/>
        </w:rPr>
        <w:t>Obec Hlízov</w:t>
      </w:r>
    </w:p>
    <w:p w14:paraId="57115F6D" w14:textId="77777777" w:rsidR="00EA1647" w:rsidRDefault="00EA1647" w:rsidP="00EA1647">
      <w:pPr>
        <w:spacing w:line="276" w:lineRule="auto"/>
        <w:ind w:right="-1"/>
        <w:jc w:val="center"/>
        <w:rPr>
          <w:rFonts w:ascii="Arial" w:hAnsi="Arial" w:cs="Arial"/>
          <w:b/>
          <w:sz w:val="22"/>
          <w:szCs w:val="22"/>
        </w:rPr>
      </w:pPr>
    </w:p>
    <w:p w14:paraId="57115F6E" w14:textId="4521A056" w:rsidR="00EA1647" w:rsidRDefault="00EA1647" w:rsidP="00EA1647">
      <w:pPr>
        <w:spacing w:line="276" w:lineRule="auto"/>
        <w:ind w:right="-1"/>
        <w:rPr>
          <w:rFonts w:ascii="Arial" w:hAnsi="Arial" w:cs="Arial"/>
          <w:b/>
          <w:sz w:val="22"/>
          <w:szCs w:val="22"/>
        </w:rPr>
      </w:pPr>
      <w:r>
        <w:rPr>
          <w:rFonts w:ascii="Arial" w:hAnsi="Arial" w:cs="Arial"/>
          <w:b/>
          <w:sz w:val="22"/>
          <w:szCs w:val="22"/>
        </w:rPr>
        <w:t xml:space="preserve">                                  </w:t>
      </w:r>
      <w:r w:rsidR="005B68ED">
        <w:rPr>
          <w:rFonts w:ascii="Arial" w:hAnsi="Arial" w:cs="Arial"/>
          <w:b/>
          <w:sz w:val="22"/>
          <w:szCs w:val="22"/>
        </w:rPr>
        <w:t>Návrh</w:t>
      </w:r>
    </w:p>
    <w:p w14:paraId="57115F6F" w14:textId="77777777" w:rsidR="00EA1647" w:rsidRDefault="00EA1647" w:rsidP="00EA1647">
      <w:pPr>
        <w:spacing w:line="276" w:lineRule="auto"/>
        <w:ind w:right="-1"/>
        <w:rPr>
          <w:rFonts w:ascii="Arial" w:hAnsi="Arial" w:cs="Arial"/>
          <w:b/>
          <w:sz w:val="22"/>
          <w:szCs w:val="22"/>
        </w:rPr>
      </w:pPr>
    </w:p>
    <w:p w14:paraId="57115F70" w14:textId="105855EB" w:rsidR="00EA1647" w:rsidRPr="00EA1647" w:rsidRDefault="00EA1647" w:rsidP="00EA1647">
      <w:pPr>
        <w:spacing w:line="276" w:lineRule="auto"/>
        <w:ind w:right="-1"/>
        <w:rPr>
          <w:rFonts w:ascii="Times New Roman" w:hAnsi="Times New Roman" w:cs="Times New Roman"/>
          <w:b/>
          <w:sz w:val="28"/>
          <w:szCs w:val="28"/>
        </w:rPr>
      </w:pPr>
      <w:r>
        <w:rPr>
          <w:rFonts w:ascii="Arial" w:hAnsi="Arial" w:cs="Arial"/>
          <w:b/>
          <w:sz w:val="22"/>
          <w:szCs w:val="22"/>
        </w:rPr>
        <w:t xml:space="preserve">                                     </w:t>
      </w:r>
      <w:r w:rsidRPr="00EA1647">
        <w:rPr>
          <w:rFonts w:ascii="Times New Roman" w:hAnsi="Times New Roman" w:cs="Times New Roman"/>
          <w:b/>
          <w:sz w:val="28"/>
          <w:szCs w:val="28"/>
        </w:rPr>
        <w:t xml:space="preserve">SMĚRNICE OBCE HLÍZOV č. </w:t>
      </w:r>
      <w:r w:rsidR="005B68ED">
        <w:rPr>
          <w:rFonts w:ascii="Times New Roman" w:hAnsi="Times New Roman" w:cs="Times New Roman"/>
          <w:b/>
          <w:sz w:val="28"/>
          <w:szCs w:val="28"/>
        </w:rPr>
        <w:t>……</w:t>
      </w:r>
    </w:p>
    <w:p w14:paraId="57115F71" w14:textId="77777777" w:rsidR="00EA1647" w:rsidRPr="00EA1647" w:rsidRDefault="00EA1647" w:rsidP="00EA1647">
      <w:pPr>
        <w:spacing w:line="276" w:lineRule="auto"/>
        <w:ind w:right="-1"/>
        <w:jc w:val="center"/>
        <w:rPr>
          <w:rFonts w:ascii="Times New Roman" w:eastAsia="Times New Roman" w:hAnsi="Times New Roman" w:cs="Times New Roman"/>
          <w:b/>
          <w:sz w:val="22"/>
          <w:szCs w:val="22"/>
        </w:rPr>
      </w:pPr>
      <w:r w:rsidRPr="00EA1647">
        <w:rPr>
          <w:rFonts w:ascii="Times New Roman" w:hAnsi="Times New Roman" w:cs="Times New Roman"/>
          <w:b/>
          <w:sz w:val="22"/>
          <w:szCs w:val="22"/>
        </w:rPr>
        <w:t>k zadávání veřejných zakázek malého rozsahu</w:t>
      </w:r>
    </w:p>
    <w:p w14:paraId="57115F72" w14:textId="77777777" w:rsidR="00EA1647" w:rsidRDefault="00EA1647" w:rsidP="00EA1647">
      <w:pPr>
        <w:pStyle w:val="Zkladntext"/>
        <w:spacing w:line="276" w:lineRule="auto"/>
        <w:jc w:val="both"/>
        <w:rPr>
          <w:rFonts w:ascii="Times New Roman" w:hAnsi="Times New Roman" w:cs="Times New Roman"/>
          <w:bCs/>
          <w:sz w:val="22"/>
          <w:szCs w:val="22"/>
        </w:rPr>
      </w:pPr>
    </w:p>
    <w:p w14:paraId="57115F73" w14:textId="77777777" w:rsidR="00EA1647" w:rsidRPr="00EA1647" w:rsidRDefault="00EA1647" w:rsidP="00EA1647">
      <w:pPr>
        <w:pStyle w:val="Zkladntext"/>
        <w:spacing w:line="276" w:lineRule="auto"/>
        <w:jc w:val="both"/>
        <w:rPr>
          <w:rFonts w:ascii="Times New Roman" w:hAnsi="Times New Roman" w:cs="Times New Roman"/>
          <w:bCs/>
          <w:sz w:val="22"/>
          <w:szCs w:val="22"/>
        </w:rPr>
      </w:pPr>
    </w:p>
    <w:p w14:paraId="57115F74"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Obecná ustanovení</w:t>
      </w:r>
    </w:p>
    <w:p w14:paraId="57115F75"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Tato směrnice upravuje základní povinnosti obce v oblasti zadávání zakázek nespadajících pod působnost zákona č. 134/2016 Sb., o zadávání veřejných zakázek (dále jen „ZZVZ“), tj. při zadávání veřejných zakázek malého rozsahu (dále jen „VZMR“ nebo „zadávací řízení“).</w:t>
      </w:r>
    </w:p>
    <w:p w14:paraId="57115F76" w14:textId="77777777" w:rsidR="00EA1647" w:rsidRPr="00EA1647" w:rsidRDefault="00EA1647" w:rsidP="00EA1647">
      <w:pPr>
        <w:spacing w:line="276" w:lineRule="auto"/>
        <w:rPr>
          <w:rFonts w:ascii="Times New Roman" w:hAnsi="Times New Roman" w:cs="Times New Roman"/>
        </w:rPr>
      </w:pPr>
    </w:p>
    <w:p w14:paraId="57115F77"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Za VZMR se rozumí veřejná zakázka, jejíž předpokládaná hodnota je rovna nebo nižší:</w:t>
      </w:r>
    </w:p>
    <w:p w14:paraId="57115F78" w14:textId="77777777" w:rsidR="00EA1647" w:rsidRPr="00EA1647" w:rsidRDefault="00EA1647" w:rsidP="00EA1647">
      <w:pPr>
        <w:pStyle w:val="Nadpis2"/>
        <w:numPr>
          <w:ilvl w:val="0"/>
          <w:numId w:val="6"/>
        </w:numPr>
        <w:ind w:left="1134" w:hanging="567"/>
        <w:rPr>
          <w:rFonts w:ascii="Times New Roman" w:hAnsi="Times New Roman" w:cs="Times New Roman"/>
        </w:rPr>
      </w:pPr>
      <w:r w:rsidRPr="00EA1647">
        <w:rPr>
          <w:rFonts w:ascii="Times New Roman" w:hAnsi="Times New Roman" w:cs="Times New Roman"/>
        </w:rPr>
        <w:t xml:space="preserve">v případě veřejné zakázky na dodávky nebo služby částce 2 000 000 Kč bez DPH; </w:t>
      </w:r>
    </w:p>
    <w:p w14:paraId="57115F79" w14:textId="77777777" w:rsidR="00EA1647" w:rsidRPr="00EA1647" w:rsidRDefault="00EA1647" w:rsidP="00EA1647">
      <w:pPr>
        <w:pStyle w:val="Nadpis2"/>
        <w:numPr>
          <w:ilvl w:val="0"/>
          <w:numId w:val="6"/>
        </w:numPr>
        <w:ind w:left="1134" w:hanging="567"/>
        <w:rPr>
          <w:rFonts w:ascii="Times New Roman" w:hAnsi="Times New Roman" w:cs="Times New Roman"/>
        </w:rPr>
      </w:pPr>
      <w:r w:rsidRPr="00EA1647">
        <w:rPr>
          <w:rFonts w:ascii="Times New Roman" w:hAnsi="Times New Roman" w:cs="Times New Roman"/>
        </w:rPr>
        <w:t>v případě veřejné zakázky na stavební práce částce 6 000 000 Kč bez DPH.</w:t>
      </w:r>
    </w:p>
    <w:p w14:paraId="57115F7A" w14:textId="77777777" w:rsidR="00EA1647" w:rsidRPr="00EA1647" w:rsidRDefault="00EA1647" w:rsidP="00EA1647">
      <w:pPr>
        <w:spacing w:line="276" w:lineRule="auto"/>
        <w:rPr>
          <w:rFonts w:ascii="Times New Roman" w:hAnsi="Times New Roman" w:cs="Times New Roman"/>
        </w:rPr>
      </w:pPr>
    </w:p>
    <w:p w14:paraId="57115F7B"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VZMR za zadavatele organizuje starosta nebo místostarosta obce, případně mohou pověřit jiného pracovníka obecního úřadu.  </w:t>
      </w:r>
    </w:p>
    <w:p w14:paraId="57115F7C" w14:textId="77777777" w:rsidR="00EA1647" w:rsidRPr="00EA1647" w:rsidRDefault="00EA1647" w:rsidP="00EA1647">
      <w:pPr>
        <w:spacing w:line="276" w:lineRule="auto"/>
        <w:rPr>
          <w:rFonts w:ascii="Times New Roman" w:hAnsi="Times New Roman" w:cs="Times New Roman"/>
        </w:rPr>
      </w:pPr>
    </w:p>
    <w:p w14:paraId="57115F7D"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Zadání zakázky schvaluje zastupitelstvo obce.</w:t>
      </w:r>
    </w:p>
    <w:p w14:paraId="57115F7E" w14:textId="77777777" w:rsidR="00EA1647" w:rsidRPr="00EA1647" w:rsidRDefault="00EA1647" w:rsidP="00EA1647">
      <w:pPr>
        <w:spacing w:line="276" w:lineRule="auto"/>
        <w:ind w:left="426" w:hanging="426"/>
        <w:jc w:val="both"/>
        <w:rPr>
          <w:rFonts w:ascii="Times New Roman" w:hAnsi="Times New Roman" w:cs="Times New Roman"/>
          <w:bCs/>
          <w:sz w:val="22"/>
          <w:szCs w:val="22"/>
        </w:rPr>
      </w:pPr>
    </w:p>
    <w:p w14:paraId="57115F7F"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 xml:space="preserve">Zásady postupu zadavatele </w:t>
      </w:r>
    </w:p>
    <w:p w14:paraId="57115F80"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Při zadávání veřejné zakázky je potřeba dodržovat zásady transparentnosti a přiměřenosti. Ve vztahu k dodavatelům musí zadavatel dodržovat zásadu rovného zacházení a zákazu diskriminace.</w:t>
      </w:r>
    </w:p>
    <w:p w14:paraId="57115F81" w14:textId="77777777" w:rsidR="00EA1647" w:rsidRPr="00EA1647" w:rsidRDefault="00EA1647" w:rsidP="00EA1647">
      <w:pPr>
        <w:pStyle w:val="Nadpis2"/>
        <w:numPr>
          <w:ilvl w:val="0"/>
          <w:numId w:val="0"/>
        </w:numPr>
        <w:ind w:left="576"/>
        <w:rPr>
          <w:rFonts w:ascii="Times New Roman" w:hAnsi="Times New Roman" w:cs="Times New Roman"/>
        </w:rPr>
      </w:pPr>
    </w:p>
    <w:p w14:paraId="57115F82"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Zadavatel nesmí omezovat účast v zadávacím řízení těm dodavatelům, kteří mají sídlo v členském státě Evropské unie, Evropského hospodářského prostoru nebo Švýcarské konfederaci, nebo v jiném státě, který má s Českou republikou nebo s Evropskou unií uzavřenu mezinárodní smlouvu zaručující přístup dodavatelům z těchto států k zadávané zakázce.</w:t>
      </w:r>
    </w:p>
    <w:p w14:paraId="57115F83" w14:textId="77777777" w:rsidR="00EA1647" w:rsidRPr="00EA1647" w:rsidRDefault="00EA1647" w:rsidP="00EA1647">
      <w:pPr>
        <w:spacing w:line="276" w:lineRule="auto"/>
        <w:jc w:val="both"/>
        <w:rPr>
          <w:rFonts w:ascii="Times New Roman" w:hAnsi="Times New Roman" w:cs="Times New Roman"/>
          <w:bCs/>
          <w:sz w:val="22"/>
          <w:szCs w:val="22"/>
        </w:rPr>
      </w:pPr>
    </w:p>
    <w:p w14:paraId="57115F84"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Střet zájmů</w:t>
      </w:r>
    </w:p>
    <w:p w14:paraId="57115F85"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w:t>
      </w:r>
    </w:p>
    <w:p w14:paraId="57115F86"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Za střet zájmů se považuje situace, kdy zájmy osob, které:</w:t>
      </w:r>
    </w:p>
    <w:p w14:paraId="57115F87" w14:textId="77777777" w:rsidR="00EA1647" w:rsidRPr="00EA1647" w:rsidRDefault="00EA1647" w:rsidP="00EA1647">
      <w:pPr>
        <w:pStyle w:val="Nadpis2"/>
        <w:numPr>
          <w:ilvl w:val="0"/>
          <w:numId w:val="7"/>
        </w:numPr>
        <w:ind w:left="1134" w:hanging="567"/>
        <w:rPr>
          <w:rFonts w:ascii="Times New Roman" w:hAnsi="Times New Roman" w:cs="Times New Roman"/>
        </w:rPr>
      </w:pPr>
      <w:r w:rsidRPr="00EA1647">
        <w:rPr>
          <w:rFonts w:ascii="Times New Roman" w:hAnsi="Times New Roman" w:cs="Times New Roman"/>
        </w:rPr>
        <w:t>se podílejí na průběhu zadávacího řízení, nebo</w:t>
      </w:r>
    </w:p>
    <w:p w14:paraId="57115F88" w14:textId="77777777" w:rsidR="00EA1647" w:rsidRPr="00EA1647" w:rsidRDefault="00EA1647" w:rsidP="00EA1647">
      <w:pPr>
        <w:pStyle w:val="Nadpis2"/>
        <w:numPr>
          <w:ilvl w:val="0"/>
          <w:numId w:val="7"/>
        </w:numPr>
        <w:ind w:left="1134" w:hanging="567"/>
        <w:rPr>
          <w:rFonts w:ascii="Times New Roman" w:hAnsi="Times New Roman" w:cs="Times New Roman"/>
        </w:rPr>
      </w:pPr>
      <w:r w:rsidRPr="00EA1647">
        <w:rPr>
          <w:rFonts w:ascii="Times New Roman" w:hAnsi="Times New Roman" w:cs="Times New Roman"/>
        </w:rPr>
        <w:t>mají nebo by mohly mít vliv na výsledek zadávacího řízení,</w:t>
      </w:r>
    </w:p>
    <w:p w14:paraId="57115F89" w14:textId="77777777" w:rsidR="00EA1647" w:rsidRPr="00EA1647" w:rsidRDefault="00EA1647" w:rsidP="00EA1647">
      <w:pPr>
        <w:pStyle w:val="Nadpis2"/>
        <w:numPr>
          <w:ilvl w:val="0"/>
          <w:numId w:val="7"/>
        </w:numPr>
        <w:ind w:left="1134" w:hanging="567"/>
        <w:rPr>
          <w:rFonts w:ascii="Times New Roman" w:hAnsi="Times New Roman" w:cs="Times New Roman"/>
        </w:rPr>
      </w:pPr>
      <w:r w:rsidRPr="00EA1647">
        <w:rPr>
          <w:rFonts w:ascii="Times New Roman" w:hAnsi="Times New Roman" w:cs="Times New Roman"/>
        </w:rPr>
        <w:t xml:space="preserve">ohrožují jejich nestrannost nebo nezávislost v souvislosti </w:t>
      </w:r>
      <w:proofErr w:type="gramStart"/>
      <w:r w:rsidRPr="00EA1647">
        <w:rPr>
          <w:rFonts w:ascii="Times New Roman" w:hAnsi="Times New Roman" w:cs="Times New Roman"/>
        </w:rPr>
        <w:t>s</w:t>
      </w:r>
      <w:proofErr w:type="gramEnd"/>
      <w:r w:rsidRPr="00EA1647">
        <w:rPr>
          <w:rFonts w:ascii="Times New Roman" w:hAnsi="Times New Roman" w:cs="Times New Roman"/>
        </w:rPr>
        <w:t xml:space="preserve"> zadávacím řízením.</w:t>
      </w:r>
    </w:p>
    <w:p w14:paraId="57115F8A"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Zájmem osob se rozumí zájem získat osobní výhodu nebo snížit majetkový nebo jiný prospěch zadavatele.</w:t>
      </w:r>
    </w:p>
    <w:p w14:paraId="57115F8B" w14:textId="77777777" w:rsidR="00EA1647" w:rsidRPr="00EA1647" w:rsidRDefault="00EA1647" w:rsidP="00EA1647">
      <w:pPr>
        <w:spacing w:line="276" w:lineRule="auto"/>
        <w:jc w:val="both"/>
        <w:rPr>
          <w:rFonts w:ascii="Times New Roman" w:hAnsi="Times New Roman" w:cs="Times New Roman"/>
          <w:bCs/>
          <w:sz w:val="22"/>
          <w:szCs w:val="22"/>
        </w:rPr>
      </w:pPr>
    </w:p>
    <w:p w14:paraId="57115F8C" w14:textId="77777777" w:rsidR="00EA1647" w:rsidRPr="00EA1647" w:rsidRDefault="00EA1647" w:rsidP="00EA1647">
      <w:pPr>
        <w:spacing w:line="276" w:lineRule="auto"/>
        <w:jc w:val="both"/>
        <w:rPr>
          <w:rFonts w:ascii="Times New Roman" w:hAnsi="Times New Roman" w:cs="Times New Roman"/>
          <w:bCs/>
          <w:sz w:val="22"/>
          <w:szCs w:val="22"/>
        </w:rPr>
      </w:pPr>
    </w:p>
    <w:p w14:paraId="57115F8D" w14:textId="77777777" w:rsidR="00EA1647" w:rsidRDefault="00EA1647" w:rsidP="00EA1647">
      <w:pPr>
        <w:spacing w:line="276" w:lineRule="auto"/>
        <w:jc w:val="both"/>
        <w:rPr>
          <w:rFonts w:ascii="Times New Roman" w:hAnsi="Times New Roman" w:cs="Times New Roman"/>
          <w:bCs/>
          <w:sz w:val="22"/>
          <w:szCs w:val="22"/>
        </w:rPr>
      </w:pPr>
    </w:p>
    <w:p w14:paraId="576784B5" w14:textId="77777777" w:rsidR="00D46ABA" w:rsidRDefault="00D46ABA" w:rsidP="00EA1647">
      <w:pPr>
        <w:spacing w:line="276" w:lineRule="auto"/>
        <w:jc w:val="both"/>
        <w:rPr>
          <w:rFonts w:ascii="Times New Roman" w:hAnsi="Times New Roman" w:cs="Times New Roman"/>
          <w:bCs/>
          <w:sz w:val="22"/>
          <w:szCs w:val="22"/>
        </w:rPr>
      </w:pPr>
    </w:p>
    <w:p w14:paraId="737E8DAD" w14:textId="77777777" w:rsidR="00D46ABA" w:rsidRPr="00EA1647" w:rsidRDefault="00D46ABA" w:rsidP="00EA1647">
      <w:pPr>
        <w:spacing w:line="276" w:lineRule="auto"/>
        <w:jc w:val="both"/>
        <w:rPr>
          <w:rFonts w:ascii="Times New Roman" w:hAnsi="Times New Roman" w:cs="Times New Roman"/>
          <w:bCs/>
          <w:sz w:val="22"/>
          <w:szCs w:val="22"/>
        </w:rPr>
      </w:pPr>
    </w:p>
    <w:p w14:paraId="57115F91"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 xml:space="preserve">Režim zakázky podle předpokládané hodnoty </w:t>
      </w:r>
    </w:p>
    <w:p w14:paraId="57115F92" w14:textId="77777777" w:rsidR="00EA1647" w:rsidRPr="00EA1647" w:rsidRDefault="00EA1647" w:rsidP="00EA1647">
      <w:pPr>
        <w:rPr>
          <w:rFonts w:ascii="Times New Roman" w:hAnsi="Times New Roman" w:cs="Times New Roman"/>
        </w:rPr>
      </w:pPr>
    </w:p>
    <w:tbl>
      <w:tblPr>
        <w:tblStyle w:val="Mkatabulky"/>
        <w:tblW w:w="9639" w:type="dxa"/>
        <w:tblInd w:w="-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1842"/>
        <w:gridCol w:w="4111"/>
        <w:gridCol w:w="3686"/>
      </w:tblGrid>
      <w:tr w:rsidR="00EA1647" w:rsidRPr="00EA1647" w14:paraId="57115F96" w14:textId="77777777" w:rsidTr="00EA1647">
        <w:trPr>
          <w:trHeight w:val="397"/>
        </w:trPr>
        <w:tc>
          <w:tcPr>
            <w:tcW w:w="1842" w:type="dxa"/>
            <w:tcBorders>
              <w:top w:val="single" w:sz="8" w:space="0" w:color="auto"/>
              <w:left w:val="single" w:sz="8" w:space="0" w:color="auto"/>
              <w:bottom w:val="single" w:sz="2" w:space="0" w:color="auto"/>
              <w:right w:val="single" w:sz="2" w:space="0" w:color="auto"/>
            </w:tcBorders>
            <w:vAlign w:val="center"/>
            <w:hideMark/>
          </w:tcPr>
          <w:p w14:paraId="57115F93" w14:textId="77777777" w:rsidR="00EA1647" w:rsidRPr="00EA1647" w:rsidRDefault="00EA1647">
            <w:pPr>
              <w:spacing w:line="276" w:lineRule="auto"/>
              <w:rPr>
                <w:bCs/>
                <w:sz w:val="20"/>
                <w:szCs w:val="20"/>
              </w:rPr>
            </w:pPr>
            <w:r w:rsidRPr="00EA1647">
              <w:rPr>
                <w:bCs/>
                <w:sz w:val="20"/>
                <w:szCs w:val="20"/>
              </w:rPr>
              <w:t>Kategorie</w:t>
            </w:r>
          </w:p>
        </w:tc>
        <w:tc>
          <w:tcPr>
            <w:tcW w:w="4111" w:type="dxa"/>
            <w:tcBorders>
              <w:top w:val="single" w:sz="8" w:space="0" w:color="auto"/>
              <w:left w:val="single" w:sz="2" w:space="0" w:color="auto"/>
              <w:bottom w:val="single" w:sz="2" w:space="0" w:color="auto"/>
              <w:right w:val="single" w:sz="2" w:space="0" w:color="auto"/>
            </w:tcBorders>
            <w:vAlign w:val="center"/>
            <w:hideMark/>
          </w:tcPr>
          <w:p w14:paraId="57115F94" w14:textId="77777777" w:rsidR="00EA1647" w:rsidRPr="00EA1647" w:rsidRDefault="00EA1647">
            <w:pPr>
              <w:spacing w:line="276" w:lineRule="auto"/>
              <w:rPr>
                <w:bCs/>
                <w:sz w:val="20"/>
                <w:szCs w:val="20"/>
              </w:rPr>
            </w:pPr>
            <w:r w:rsidRPr="00EA1647">
              <w:rPr>
                <w:bCs/>
                <w:sz w:val="20"/>
                <w:szCs w:val="20"/>
              </w:rPr>
              <w:t>Výše předpokládané hodnoty zakázky</w:t>
            </w:r>
          </w:p>
        </w:tc>
        <w:tc>
          <w:tcPr>
            <w:tcW w:w="3686" w:type="dxa"/>
            <w:tcBorders>
              <w:top w:val="single" w:sz="8" w:space="0" w:color="auto"/>
              <w:left w:val="single" w:sz="2" w:space="0" w:color="auto"/>
              <w:bottom w:val="single" w:sz="2" w:space="0" w:color="auto"/>
              <w:right w:val="single" w:sz="8" w:space="0" w:color="auto"/>
            </w:tcBorders>
            <w:vAlign w:val="center"/>
            <w:hideMark/>
          </w:tcPr>
          <w:p w14:paraId="57115F95" w14:textId="77777777" w:rsidR="00EA1647" w:rsidRPr="00EA1647" w:rsidRDefault="00EA1647">
            <w:pPr>
              <w:spacing w:line="276" w:lineRule="auto"/>
              <w:rPr>
                <w:bCs/>
                <w:sz w:val="20"/>
                <w:szCs w:val="20"/>
              </w:rPr>
            </w:pPr>
            <w:r w:rsidRPr="00EA1647">
              <w:rPr>
                <w:bCs/>
                <w:sz w:val="20"/>
                <w:szCs w:val="20"/>
              </w:rPr>
              <w:t>Předmět plnění zakázky</w:t>
            </w:r>
          </w:p>
        </w:tc>
      </w:tr>
      <w:tr w:rsidR="00EA1647" w:rsidRPr="00EA1647" w14:paraId="57115F9A" w14:textId="77777777" w:rsidTr="00EA1647">
        <w:trPr>
          <w:trHeight w:val="397"/>
        </w:trPr>
        <w:tc>
          <w:tcPr>
            <w:tcW w:w="1842" w:type="dxa"/>
            <w:tcBorders>
              <w:top w:val="single" w:sz="2" w:space="0" w:color="auto"/>
              <w:left w:val="single" w:sz="8" w:space="0" w:color="auto"/>
              <w:bottom w:val="single" w:sz="2" w:space="0" w:color="auto"/>
              <w:right w:val="single" w:sz="2" w:space="0" w:color="auto"/>
            </w:tcBorders>
            <w:vAlign w:val="center"/>
            <w:hideMark/>
          </w:tcPr>
          <w:p w14:paraId="57115F97" w14:textId="77777777" w:rsidR="00EA1647" w:rsidRPr="00EA1647" w:rsidRDefault="00EA1647">
            <w:pPr>
              <w:spacing w:line="276" w:lineRule="auto"/>
              <w:rPr>
                <w:bCs/>
                <w:sz w:val="20"/>
                <w:szCs w:val="20"/>
              </w:rPr>
            </w:pPr>
            <w:r w:rsidRPr="00EA1647">
              <w:rPr>
                <w:bCs/>
                <w:sz w:val="20"/>
                <w:szCs w:val="20"/>
              </w:rPr>
              <w:t>I. kategorie:</w:t>
            </w:r>
          </w:p>
        </w:tc>
        <w:tc>
          <w:tcPr>
            <w:tcW w:w="4111" w:type="dxa"/>
            <w:tcBorders>
              <w:top w:val="single" w:sz="2" w:space="0" w:color="auto"/>
              <w:left w:val="single" w:sz="2" w:space="0" w:color="auto"/>
              <w:bottom w:val="single" w:sz="2" w:space="0" w:color="auto"/>
              <w:right w:val="single" w:sz="2" w:space="0" w:color="auto"/>
            </w:tcBorders>
            <w:vAlign w:val="center"/>
            <w:hideMark/>
          </w:tcPr>
          <w:p w14:paraId="57115F98" w14:textId="2E25AAA7" w:rsidR="00EA1647" w:rsidRPr="00EA1647" w:rsidRDefault="00EA1647">
            <w:pPr>
              <w:spacing w:line="276" w:lineRule="auto"/>
              <w:rPr>
                <w:bCs/>
                <w:sz w:val="20"/>
                <w:szCs w:val="20"/>
              </w:rPr>
            </w:pPr>
            <w:r w:rsidRPr="00EA1647">
              <w:rPr>
                <w:bCs/>
                <w:sz w:val="20"/>
                <w:szCs w:val="20"/>
              </w:rPr>
              <w:t>od 0,- Kč do </w:t>
            </w:r>
            <w:r w:rsidR="00EF1361">
              <w:rPr>
                <w:bCs/>
                <w:sz w:val="20"/>
                <w:szCs w:val="20"/>
              </w:rPr>
              <w:t>29</w:t>
            </w:r>
            <w:r w:rsidRPr="00EA1647">
              <w:rPr>
                <w:bCs/>
                <w:sz w:val="20"/>
                <w:szCs w:val="20"/>
              </w:rPr>
              <w:t>9 999,- Kč</w:t>
            </w:r>
          </w:p>
        </w:tc>
        <w:tc>
          <w:tcPr>
            <w:tcW w:w="3686" w:type="dxa"/>
            <w:tcBorders>
              <w:top w:val="single" w:sz="2" w:space="0" w:color="auto"/>
              <w:left w:val="single" w:sz="2" w:space="0" w:color="auto"/>
              <w:bottom w:val="single" w:sz="2" w:space="0" w:color="auto"/>
              <w:right w:val="single" w:sz="8" w:space="0" w:color="auto"/>
            </w:tcBorders>
            <w:vAlign w:val="center"/>
            <w:hideMark/>
          </w:tcPr>
          <w:p w14:paraId="57115F99" w14:textId="77777777" w:rsidR="00EA1647" w:rsidRPr="00EA1647" w:rsidRDefault="00EA1647">
            <w:pPr>
              <w:spacing w:line="276" w:lineRule="auto"/>
              <w:rPr>
                <w:bCs/>
                <w:sz w:val="20"/>
                <w:szCs w:val="20"/>
              </w:rPr>
            </w:pPr>
            <w:r w:rsidRPr="00EA1647">
              <w:rPr>
                <w:bCs/>
                <w:sz w:val="20"/>
                <w:szCs w:val="20"/>
              </w:rPr>
              <w:t>dodávky, služby a stavební práce</w:t>
            </w:r>
          </w:p>
        </w:tc>
      </w:tr>
      <w:tr w:rsidR="00EA1647" w:rsidRPr="00EA1647" w14:paraId="57115F9E" w14:textId="77777777" w:rsidTr="00EA1647">
        <w:trPr>
          <w:trHeight w:val="397"/>
        </w:trPr>
        <w:tc>
          <w:tcPr>
            <w:tcW w:w="1842" w:type="dxa"/>
            <w:tcBorders>
              <w:top w:val="single" w:sz="2" w:space="0" w:color="auto"/>
              <w:left w:val="single" w:sz="8" w:space="0" w:color="auto"/>
              <w:bottom w:val="single" w:sz="2" w:space="0" w:color="auto"/>
              <w:right w:val="single" w:sz="2" w:space="0" w:color="auto"/>
            </w:tcBorders>
            <w:vAlign w:val="center"/>
            <w:hideMark/>
          </w:tcPr>
          <w:p w14:paraId="57115F9B" w14:textId="77777777" w:rsidR="00EA1647" w:rsidRPr="00EA1647" w:rsidRDefault="00EA1647">
            <w:pPr>
              <w:spacing w:line="276" w:lineRule="auto"/>
              <w:rPr>
                <w:bCs/>
                <w:sz w:val="20"/>
                <w:szCs w:val="20"/>
              </w:rPr>
            </w:pPr>
            <w:r w:rsidRPr="00EA1647">
              <w:rPr>
                <w:bCs/>
                <w:sz w:val="20"/>
                <w:szCs w:val="20"/>
              </w:rPr>
              <w:t>II.  kategorie:</w:t>
            </w:r>
          </w:p>
        </w:tc>
        <w:tc>
          <w:tcPr>
            <w:tcW w:w="4111" w:type="dxa"/>
            <w:tcBorders>
              <w:top w:val="single" w:sz="2" w:space="0" w:color="auto"/>
              <w:left w:val="single" w:sz="2" w:space="0" w:color="auto"/>
              <w:bottom w:val="single" w:sz="2" w:space="0" w:color="auto"/>
              <w:right w:val="single" w:sz="2" w:space="0" w:color="auto"/>
            </w:tcBorders>
            <w:vAlign w:val="center"/>
            <w:hideMark/>
          </w:tcPr>
          <w:p w14:paraId="57115F9C" w14:textId="2D8C5F14" w:rsidR="00EA1647" w:rsidRPr="00EA1647" w:rsidRDefault="00EA1647">
            <w:pPr>
              <w:spacing w:line="276" w:lineRule="auto"/>
              <w:rPr>
                <w:bCs/>
                <w:sz w:val="20"/>
                <w:szCs w:val="20"/>
              </w:rPr>
            </w:pPr>
            <w:r w:rsidRPr="00EA1647">
              <w:rPr>
                <w:bCs/>
                <w:sz w:val="20"/>
                <w:szCs w:val="20"/>
              </w:rPr>
              <w:t>od </w:t>
            </w:r>
            <w:r w:rsidR="00EF1361">
              <w:rPr>
                <w:bCs/>
                <w:sz w:val="20"/>
                <w:szCs w:val="20"/>
              </w:rPr>
              <w:t>300</w:t>
            </w:r>
            <w:r w:rsidRPr="00EA1647">
              <w:rPr>
                <w:bCs/>
                <w:sz w:val="20"/>
                <w:szCs w:val="20"/>
              </w:rPr>
              <w:t> 000,- Kč do </w:t>
            </w:r>
            <w:r w:rsidR="00EF1361">
              <w:rPr>
                <w:bCs/>
                <w:sz w:val="20"/>
                <w:szCs w:val="20"/>
              </w:rPr>
              <w:t>9</w:t>
            </w:r>
            <w:r w:rsidRPr="00EA1647">
              <w:rPr>
                <w:bCs/>
                <w:sz w:val="20"/>
                <w:szCs w:val="20"/>
              </w:rPr>
              <w:t>99 999,- Kč</w:t>
            </w:r>
          </w:p>
        </w:tc>
        <w:tc>
          <w:tcPr>
            <w:tcW w:w="3686" w:type="dxa"/>
            <w:tcBorders>
              <w:top w:val="single" w:sz="2" w:space="0" w:color="auto"/>
              <w:left w:val="single" w:sz="2" w:space="0" w:color="auto"/>
              <w:bottom w:val="single" w:sz="2" w:space="0" w:color="auto"/>
              <w:right w:val="single" w:sz="8" w:space="0" w:color="auto"/>
            </w:tcBorders>
            <w:vAlign w:val="center"/>
            <w:hideMark/>
          </w:tcPr>
          <w:p w14:paraId="57115F9D" w14:textId="77777777" w:rsidR="00EA1647" w:rsidRPr="00EA1647" w:rsidRDefault="00EA1647">
            <w:pPr>
              <w:spacing w:line="276" w:lineRule="auto"/>
              <w:rPr>
                <w:bCs/>
                <w:sz w:val="20"/>
                <w:szCs w:val="20"/>
              </w:rPr>
            </w:pPr>
            <w:r w:rsidRPr="00EA1647">
              <w:rPr>
                <w:bCs/>
                <w:sz w:val="20"/>
                <w:szCs w:val="20"/>
              </w:rPr>
              <w:t>dodávky, služby a stavební práce</w:t>
            </w:r>
          </w:p>
        </w:tc>
      </w:tr>
      <w:tr w:rsidR="00EA1647" w:rsidRPr="00EA1647" w14:paraId="57115FA2" w14:textId="77777777" w:rsidTr="00EA1647">
        <w:trPr>
          <w:trHeight w:val="397"/>
        </w:trPr>
        <w:tc>
          <w:tcPr>
            <w:tcW w:w="1842" w:type="dxa"/>
            <w:vMerge w:val="restart"/>
            <w:tcBorders>
              <w:top w:val="single" w:sz="2" w:space="0" w:color="auto"/>
              <w:left w:val="single" w:sz="8" w:space="0" w:color="auto"/>
              <w:bottom w:val="single" w:sz="8" w:space="0" w:color="auto"/>
              <w:right w:val="single" w:sz="2" w:space="0" w:color="auto"/>
            </w:tcBorders>
            <w:vAlign w:val="center"/>
            <w:hideMark/>
          </w:tcPr>
          <w:p w14:paraId="57115F9F" w14:textId="77777777" w:rsidR="00EA1647" w:rsidRPr="00EA1647" w:rsidRDefault="00EA1647">
            <w:pPr>
              <w:spacing w:line="276" w:lineRule="auto"/>
              <w:rPr>
                <w:bCs/>
                <w:sz w:val="20"/>
                <w:szCs w:val="20"/>
              </w:rPr>
            </w:pPr>
            <w:r w:rsidRPr="00EA1647">
              <w:rPr>
                <w:bCs/>
                <w:sz w:val="20"/>
                <w:szCs w:val="20"/>
              </w:rPr>
              <w:t>III. kategorie: </w:t>
            </w:r>
          </w:p>
        </w:tc>
        <w:tc>
          <w:tcPr>
            <w:tcW w:w="4111" w:type="dxa"/>
            <w:tcBorders>
              <w:top w:val="single" w:sz="2" w:space="0" w:color="auto"/>
              <w:left w:val="single" w:sz="2" w:space="0" w:color="auto"/>
              <w:bottom w:val="single" w:sz="2" w:space="0" w:color="auto"/>
              <w:right w:val="single" w:sz="2" w:space="0" w:color="auto"/>
            </w:tcBorders>
            <w:vAlign w:val="center"/>
            <w:hideMark/>
          </w:tcPr>
          <w:p w14:paraId="57115FA0" w14:textId="10E1CA32" w:rsidR="00EA1647" w:rsidRPr="00EA1647" w:rsidRDefault="00EA1647">
            <w:pPr>
              <w:spacing w:line="276" w:lineRule="auto"/>
              <w:rPr>
                <w:bCs/>
                <w:sz w:val="20"/>
                <w:szCs w:val="20"/>
              </w:rPr>
            </w:pPr>
            <w:r w:rsidRPr="00EA1647">
              <w:rPr>
                <w:bCs/>
                <w:sz w:val="20"/>
                <w:szCs w:val="20"/>
              </w:rPr>
              <w:t xml:space="preserve">od </w:t>
            </w:r>
            <w:r w:rsidR="00EF1361">
              <w:rPr>
                <w:bCs/>
                <w:sz w:val="20"/>
                <w:szCs w:val="20"/>
              </w:rPr>
              <w:t>1 0</w:t>
            </w:r>
            <w:r w:rsidRPr="00EA1647">
              <w:rPr>
                <w:bCs/>
                <w:sz w:val="20"/>
                <w:szCs w:val="20"/>
              </w:rPr>
              <w:t>00 000,- Kč do 2 000 000,- Kč</w:t>
            </w:r>
          </w:p>
        </w:tc>
        <w:tc>
          <w:tcPr>
            <w:tcW w:w="3686" w:type="dxa"/>
            <w:tcBorders>
              <w:top w:val="single" w:sz="2" w:space="0" w:color="auto"/>
              <w:left w:val="single" w:sz="2" w:space="0" w:color="auto"/>
              <w:bottom w:val="single" w:sz="2" w:space="0" w:color="auto"/>
              <w:right w:val="single" w:sz="8" w:space="0" w:color="auto"/>
            </w:tcBorders>
            <w:vAlign w:val="center"/>
            <w:hideMark/>
          </w:tcPr>
          <w:p w14:paraId="57115FA1" w14:textId="77777777" w:rsidR="00EA1647" w:rsidRPr="00EA1647" w:rsidRDefault="00EA1647">
            <w:pPr>
              <w:spacing w:line="276" w:lineRule="auto"/>
              <w:rPr>
                <w:bCs/>
                <w:sz w:val="20"/>
                <w:szCs w:val="20"/>
              </w:rPr>
            </w:pPr>
            <w:r w:rsidRPr="00EA1647">
              <w:rPr>
                <w:bCs/>
                <w:sz w:val="20"/>
                <w:szCs w:val="20"/>
              </w:rPr>
              <w:t>dodávky a služby</w:t>
            </w:r>
          </w:p>
        </w:tc>
      </w:tr>
      <w:tr w:rsidR="00EA1647" w:rsidRPr="00EA1647" w14:paraId="57115FA6" w14:textId="77777777" w:rsidTr="00EA1647">
        <w:trPr>
          <w:trHeight w:val="397"/>
        </w:trPr>
        <w:tc>
          <w:tcPr>
            <w:tcW w:w="0" w:type="auto"/>
            <w:vMerge/>
            <w:tcBorders>
              <w:top w:val="single" w:sz="2" w:space="0" w:color="auto"/>
              <w:left w:val="single" w:sz="8" w:space="0" w:color="auto"/>
              <w:bottom w:val="single" w:sz="8" w:space="0" w:color="auto"/>
              <w:right w:val="single" w:sz="2" w:space="0" w:color="auto"/>
            </w:tcBorders>
            <w:vAlign w:val="center"/>
            <w:hideMark/>
          </w:tcPr>
          <w:p w14:paraId="57115FA3" w14:textId="77777777" w:rsidR="00EA1647" w:rsidRPr="00EA1647" w:rsidRDefault="00EA1647">
            <w:pPr>
              <w:rPr>
                <w:rFonts w:eastAsia="Times New Roman"/>
                <w:bCs/>
                <w:sz w:val="20"/>
                <w:szCs w:val="20"/>
              </w:rPr>
            </w:pPr>
          </w:p>
        </w:tc>
        <w:tc>
          <w:tcPr>
            <w:tcW w:w="4111" w:type="dxa"/>
            <w:tcBorders>
              <w:top w:val="single" w:sz="2" w:space="0" w:color="auto"/>
              <w:left w:val="single" w:sz="2" w:space="0" w:color="auto"/>
              <w:bottom w:val="single" w:sz="8" w:space="0" w:color="auto"/>
              <w:right w:val="single" w:sz="2" w:space="0" w:color="auto"/>
            </w:tcBorders>
            <w:vAlign w:val="center"/>
            <w:hideMark/>
          </w:tcPr>
          <w:p w14:paraId="57115FA4" w14:textId="74E26313" w:rsidR="00EA1647" w:rsidRPr="00EA1647" w:rsidRDefault="00EA1647">
            <w:pPr>
              <w:spacing w:line="276" w:lineRule="auto"/>
              <w:rPr>
                <w:bCs/>
                <w:sz w:val="20"/>
                <w:szCs w:val="20"/>
              </w:rPr>
            </w:pPr>
            <w:r w:rsidRPr="00EA1647">
              <w:rPr>
                <w:bCs/>
                <w:sz w:val="20"/>
                <w:szCs w:val="20"/>
              </w:rPr>
              <w:t xml:space="preserve">od </w:t>
            </w:r>
            <w:r w:rsidR="00EF1361">
              <w:rPr>
                <w:bCs/>
                <w:sz w:val="20"/>
                <w:szCs w:val="20"/>
              </w:rPr>
              <w:t>1 0</w:t>
            </w:r>
            <w:r w:rsidRPr="00EA1647">
              <w:rPr>
                <w:bCs/>
                <w:sz w:val="20"/>
                <w:szCs w:val="20"/>
              </w:rPr>
              <w:t>00 000,- Kč do 6 000 000,- Kč</w:t>
            </w:r>
          </w:p>
        </w:tc>
        <w:tc>
          <w:tcPr>
            <w:tcW w:w="3686" w:type="dxa"/>
            <w:tcBorders>
              <w:top w:val="single" w:sz="2" w:space="0" w:color="auto"/>
              <w:left w:val="single" w:sz="2" w:space="0" w:color="auto"/>
              <w:bottom w:val="single" w:sz="8" w:space="0" w:color="auto"/>
              <w:right w:val="single" w:sz="8" w:space="0" w:color="auto"/>
            </w:tcBorders>
            <w:vAlign w:val="center"/>
            <w:hideMark/>
          </w:tcPr>
          <w:p w14:paraId="57115FA5" w14:textId="77777777" w:rsidR="00EA1647" w:rsidRPr="00EA1647" w:rsidRDefault="00EA1647">
            <w:pPr>
              <w:spacing w:line="276" w:lineRule="auto"/>
              <w:rPr>
                <w:bCs/>
                <w:sz w:val="20"/>
                <w:szCs w:val="20"/>
              </w:rPr>
            </w:pPr>
            <w:r w:rsidRPr="00EA1647">
              <w:rPr>
                <w:bCs/>
                <w:sz w:val="20"/>
                <w:szCs w:val="20"/>
              </w:rPr>
              <w:t>stavební práce</w:t>
            </w:r>
          </w:p>
        </w:tc>
      </w:tr>
    </w:tbl>
    <w:p w14:paraId="57115FA7" w14:textId="77777777" w:rsidR="00EA1647" w:rsidRPr="00EA1647" w:rsidRDefault="00EA1647" w:rsidP="00EA1647">
      <w:pPr>
        <w:pStyle w:val="Nadpis1"/>
        <w:numPr>
          <w:ilvl w:val="0"/>
          <w:numId w:val="0"/>
        </w:numPr>
        <w:ind w:left="432"/>
        <w:jc w:val="left"/>
        <w:rPr>
          <w:rFonts w:ascii="Times New Roman" w:hAnsi="Times New Roman" w:cs="Times New Roman"/>
        </w:rPr>
      </w:pPr>
    </w:p>
    <w:p w14:paraId="57115FA8"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 xml:space="preserve">Zadávání veřejných zakázek I. kategorie </w:t>
      </w:r>
    </w:p>
    <w:p w14:paraId="57115FA9"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Zadavatel zadává zakázku přímým nákupem, objednávkou, popř. smlouvou, zejm. na základě zkušeností s obdobnými zakázkami již v minulosti realizovanými. </w:t>
      </w:r>
    </w:p>
    <w:p w14:paraId="57115FAA" w14:textId="77777777" w:rsidR="00EA1647" w:rsidRPr="00EA1647" w:rsidRDefault="00EA1647" w:rsidP="00EA1647">
      <w:pPr>
        <w:spacing w:line="276" w:lineRule="auto"/>
        <w:ind w:left="851"/>
        <w:jc w:val="both"/>
        <w:rPr>
          <w:rFonts w:ascii="Times New Roman" w:hAnsi="Times New Roman" w:cs="Times New Roman"/>
          <w:bCs/>
          <w:sz w:val="22"/>
          <w:szCs w:val="22"/>
        </w:rPr>
      </w:pPr>
    </w:p>
    <w:p w14:paraId="57115FAB"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 xml:space="preserve">Zadávání veřejných zakázek II. kategorie </w:t>
      </w:r>
    </w:p>
    <w:p w14:paraId="57115FAC"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Zadavatel zadává zakázku na základě průzkumu trhu. Průzkum trhu spočívá v zajištění cenových nabídek od 3 dodavatelů, u kterých lze předpokládat, že jsou schopni zakázku řádně realizovat. </w:t>
      </w:r>
    </w:p>
    <w:p w14:paraId="57115FAD"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Nabídky mohou být předloženy písemně, e-mailem ve formě elektronických nabídek bez zaručeného elektronického podpisu, ve formě nabídek na reklamních letácích či formou ceníku na internetu apod. </w:t>
      </w:r>
    </w:p>
    <w:p w14:paraId="57115FAE" w14:textId="77777777" w:rsidR="00EA1647" w:rsidRPr="00EA1647" w:rsidRDefault="00EA1647" w:rsidP="00EA1647">
      <w:pPr>
        <w:spacing w:line="276" w:lineRule="auto"/>
        <w:jc w:val="both"/>
        <w:rPr>
          <w:rFonts w:ascii="Times New Roman" w:hAnsi="Times New Roman" w:cs="Times New Roman"/>
          <w:bCs/>
          <w:sz w:val="22"/>
          <w:szCs w:val="22"/>
        </w:rPr>
      </w:pPr>
    </w:p>
    <w:p w14:paraId="57115FAF"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 xml:space="preserve">Zadávání veřejných zakázek III. kategorie </w:t>
      </w:r>
    </w:p>
    <w:p w14:paraId="57115FB0"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Zadavatel zadává zakázku v uzavřené výzvě. </w:t>
      </w:r>
    </w:p>
    <w:p w14:paraId="57115FB1"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V uzavřené výzvě vyzývá zadavatel písemnou výzvou nejméně 3 dodavatele k podání nabídky. Zadavatel vyzve pouze takové dodavatele, o kterých má informace, že jsou způsobilí požadované plnění poskytnout. Zadavatel nesmí vyzývat opakovaně stejný okruh dodavatelů, není-li to odůvodněno předmětem plnění zakázky či jinými zvláštními okolnostmi, případně zrušením předcházejícího zadávacího řízení.</w:t>
      </w:r>
    </w:p>
    <w:p w14:paraId="57115FB2"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Oslovení dodavatelů bude vždy provedeno formou výzvy pro podání nabídky. Součástí výzvy bude zadávací dokumentace, která bude obsahovat zejména: </w:t>
      </w:r>
    </w:p>
    <w:p w14:paraId="57115FB3"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Identifikační údaje zadavatele;</w:t>
      </w:r>
    </w:p>
    <w:p w14:paraId="57115FB4"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Název zakázky;</w:t>
      </w:r>
    </w:p>
    <w:p w14:paraId="57115FB5"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Druh zakázky (dodávky, služby nebo stavební práce);</w:t>
      </w:r>
    </w:p>
    <w:p w14:paraId="57115FB6"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Lhůta a místo pro podání nabídky;</w:t>
      </w:r>
    </w:p>
    <w:p w14:paraId="57115FB7"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Předmět zakázky v podrobnostech nezbytných pro zpracování nabídky;</w:t>
      </w:r>
    </w:p>
    <w:p w14:paraId="57115FB8"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 xml:space="preserve">Pravidla pro hodnocení nabídek, která zahrnují i) kritéria hodnocení, </w:t>
      </w:r>
      <w:proofErr w:type="spellStart"/>
      <w:r w:rsidRPr="00EA1647">
        <w:rPr>
          <w:rFonts w:ascii="Times New Roman" w:hAnsi="Times New Roman" w:cs="Times New Roman"/>
        </w:rPr>
        <w:t>ii</w:t>
      </w:r>
      <w:proofErr w:type="spellEnd"/>
      <w:r w:rsidRPr="00EA1647">
        <w:rPr>
          <w:rFonts w:ascii="Times New Roman" w:hAnsi="Times New Roman" w:cs="Times New Roman"/>
        </w:rPr>
        <w:t xml:space="preserve">) metodu vyhodnocení nabídek v jednotlivých kritériích a </w:t>
      </w:r>
      <w:proofErr w:type="spellStart"/>
      <w:r w:rsidRPr="00EA1647">
        <w:rPr>
          <w:rFonts w:ascii="Times New Roman" w:hAnsi="Times New Roman" w:cs="Times New Roman"/>
        </w:rPr>
        <w:t>iii</w:t>
      </w:r>
      <w:proofErr w:type="spellEnd"/>
      <w:r w:rsidRPr="00EA1647">
        <w:rPr>
          <w:rFonts w:ascii="Times New Roman" w:hAnsi="Times New Roman" w:cs="Times New Roman"/>
        </w:rPr>
        <w:t>) váhu nebo jiný matematický vztah mezi kritérii;</w:t>
      </w:r>
    </w:p>
    <w:p w14:paraId="57115FB9"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Podmínky a požadavky na zpracování nabídky, jaké údaje týkající se předmětu zakázky a jeho realizace mají účastníci v nabídkách uvést, aby mohl zadavatel posoudit soulad nabídky se zadávacími podmínkami;</w:t>
      </w:r>
    </w:p>
    <w:p w14:paraId="57115FBA"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Požadavek na způsob zpracování nabídkové ceny;</w:t>
      </w:r>
    </w:p>
    <w:p w14:paraId="57115FBB"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Doba a místo plnění zakázky;</w:t>
      </w:r>
    </w:p>
    <w:p w14:paraId="57115FBC" w14:textId="77777777" w:rsidR="00EA1647" w:rsidRPr="00EA1647" w:rsidRDefault="00EA1647" w:rsidP="00EA1647">
      <w:pPr>
        <w:pStyle w:val="Nadpis2"/>
        <w:numPr>
          <w:ilvl w:val="0"/>
          <w:numId w:val="8"/>
        </w:numPr>
        <w:ind w:left="1134" w:hanging="567"/>
        <w:rPr>
          <w:rFonts w:ascii="Times New Roman" w:hAnsi="Times New Roman" w:cs="Times New Roman"/>
        </w:rPr>
      </w:pPr>
      <w:r w:rsidRPr="00EA1647">
        <w:rPr>
          <w:rFonts w:ascii="Times New Roman" w:hAnsi="Times New Roman" w:cs="Times New Roman"/>
        </w:rPr>
        <w:t>Pravidla pro vysvětlení zadávacích podmínek.</w:t>
      </w:r>
    </w:p>
    <w:p w14:paraId="57115FBD"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Lhůtu pro podání nabídek stanoví zadavatel vždy s ohledem na předmět zakázky v oznámení zadávacího řízení stanovením konce lhůty pro podání nabídek. Lhůta pro podání nabídek nesmí být kratší než kalendářních 10 dnů a počíná dnem uveřejnění oznámení o zahájení zadávacího řízení nebo odeslání výzvy k podání nabídky.</w:t>
      </w:r>
    </w:p>
    <w:p w14:paraId="57115FBE" w14:textId="77777777" w:rsidR="00EA1647" w:rsidRPr="00EA1647" w:rsidRDefault="00EA1647" w:rsidP="00EA1647">
      <w:pPr>
        <w:spacing w:line="276" w:lineRule="auto"/>
        <w:rPr>
          <w:rFonts w:ascii="Times New Roman" w:hAnsi="Times New Roman" w:cs="Times New Roman"/>
        </w:rPr>
      </w:pPr>
    </w:p>
    <w:p w14:paraId="57115FBF"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lastRenderedPageBreak/>
        <w:t xml:space="preserve">Otevírání, posouzení a hodnocení nabídek </w:t>
      </w:r>
    </w:p>
    <w:p w14:paraId="57115FC0"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Zadavatel ustanoví komisi pro otevírání obálek s nabídkami, posouzení a hodnocení nabídek, která musí mít nejméně 3 členy. Členové komise budou vybráni ze zastupitelstva obce, popř. může být členem komise i jiná odborná osoba. </w:t>
      </w:r>
    </w:p>
    <w:p w14:paraId="57115FC1"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Komise provede vyhodnocení nabídek podle předem stanovených hodnotících kritérií a pořídí zprávu ze zadávacího o řízení s odůvodněním výběru nejvhodnější nabídky, příp. nevybere žádnou z nabídek. </w:t>
      </w:r>
    </w:p>
    <w:p w14:paraId="57115FC2"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O otevírání, posouzení a hodnocení nabídek se pořizuje protokol obsahující rozhodné skutečnosti, týkající se posouzení a hodnocení nabídek:</w:t>
      </w:r>
    </w:p>
    <w:p w14:paraId="57115FC3" w14:textId="77777777" w:rsidR="00EA1647" w:rsidRPr="00EA1647" w:rsidRDefault="00EA1647" w:rsidP="00EA1647">
      <w:pPr>
        <w:pStyle w:val="Nadpis2"/>
        <w:numPr>
          <w:ilvl w:val="0"/>
          <w:numId w:val="9"/>
        </w:numPr>
        <w:ind w:left="1134" w:hanging="567"/>
        <w:rPr>
          <w:rFonts w:ascii="Times New Roman" w:hAnsi="Times New Roman" w:cs="Times New Roman"/>
        </w:rPr>
      </w:pPr>
      <w:r w:rsidRPr="00EA1647">
        <w:rPr>
          <w:rFonts w:ascii="Times New Roman" w:hAnsi="Times New Roman" w:cs="Times New Roman"/>
        </w:rPr>
        <w:t>jména a podpisy osob, které provedly posouzení a hodnocení nabídek;</w:t>
      </w:r>
    </w:p>
    <w:p w14:paraId="57115FC4" w14:textId="77777777" w:rsidR="00EA1647" w:rsidRPr="00EA1647" w:rsidRDefault="00EA1647" w:rsidP="00EA1647">
      <w:pPr>
        <w:pStyle w:val="Nadpis2"/>
        <w:numPr>
          <w:ilvl w:val="0"/>
          <w:numId w:val="9"/>
        </w:numPr>
        <w:ind w:left="1134" w:hanging="567"/>
        <w:rPr>
          <w:rFonts w:ascii="Times New Roman" w:hAnsi="Times New Roman" w:cs="Times New Roman"/>
        </w:rPr>
      </w:pPr>
      <w:r w:rsidRPr="00EA1647">
        <w:rPr>
          <w:rFonts w:ascii="Times New Roman" w:hAnsi="Times New Roman" w:cs="Times New Roman"/>
        </w:rPr>
        <w:t>seznam doručených nabídek, včetně identifikačních údajů účastníků;</w:t>
      </w:r>
    </w:p>
    <w:p w14:paraId="57115FC5" w14:textId="77777777" w:rsidR="00EA1647" w:rsidRPr="00EA1647" w:rsidRDefault="00EA1647" w:rsidP="00EA1647">
      <w:pPr>
        <w:pStyle w:val="Nadpis2"/>
        <w:numPr>
          <w:ilvl w:val="0"/>
          <w:numId w:val="9"/>
        </w:numPr>
        <w:ind w:left="1134" w:hanging="567"/>
        <w:rPr>
          <w:rFonts w:ascii="Times New Roman" w:hAnsi="Times New Roman" w:cs="Times New Roman"/>
        </w:rPr>
      </w:pPr>
      <w:r w:rsidRPr="00EA1647">
        <w:rPr>
          <w:rFonts w:ascii="Times New Roman" w:hAnsi="Times New Roman" w:cs="Times New Roman"/>
        </w:rPr>
        <w:t>seznam účastníků vyzvaných k doplnění/objasnění nabídky, pokud byli vyzváni;</w:t>
      </w:r>
    </w:p>
    <w:p w14:paraId="57115FC6" w14:textId="77777777" w:rsidR="00EA1647" w:rsidRPr="00EA1647" w:rsidRDefault="00EA1647" w:rsidP="00EA1647">
      <w:pPr>
        <w:pStyle w:val="Nadpis2"/>
        <w:numPr>
          <w:ilvl w:val="0"/>
          <w:numId w:val="9"/>
        </w:numPr>
        <w:ind w:left="1134" w:hanging="567"/>
        <w:rPr>
          <w:rFonts w:ascii="Times New Roman" w:hAnsi="Times New Roman" w:cs="Times New Roman"/>
        </w:rPr>
      </w:pPr>
      <w:r w:rsidRPr="00EA1647">
        <w:rPr>
          <w:rFonts w:ascii="Times New Roman" w:hAnsi="Times New Roman" w:cs="Times New Roman"/>
        </w:rPr>
        <w:t>seznam vyloučených účastníků s uvedením důvodu jejich vyloučení;</w:t>
      </w:r>
    </w:p>
    <w:p w14:paraId="57115FC7" w14:textId="77777777" w:rsidR="00EA1647" w:rsidRPr="00EA1647" w:rsidRDefault="00EA1647" w:rsidP="00EA1647">
      <w:pPr>
        <w:pStyle w:val="Nadpis2"/>
        <w:numPr>
          <w:ilvl w:val="0"/>
          <w:numId w:val="9"/>
        </w:numPr>
        <w:ind w:left="1134" w:hanging="567"/>
        <w:rPr>
          <w:rFonts w:ascii="Times New Roman" w:hAnsi="Times New Roman" w:cs="Times New Roman"/>
        </w:rPr>
      </w:pPr>
      <w:r w:rsidRPr="00EA1647">
        <w:rPr>
          <w:rFonts w:ascii="Times New Roman" w:hAnsi="Times New Roman" w:cs="Times New Roman"/>
        </w:rPr>
        <w:t>popis způsobu a odůvodnění hodnocení nabídek, pokud nebyla hodnocena pouze cena;</w:t>
      </w:r>
    </w:p>
    <w:p w14:paraId="57115FC8" w14:textId="77777777" w:rsidR="00EA1647" w:rsidRPr="00EA1647" w:rsidRDefault="00EA1647" w:rsidP="00EA1647">
      <w:pPr>
        <w:pStyle w:val="Nadpis2"/>
        <w:numPr>
          <w:ilvl w:val="0"/>
          <w:numId w:val="9"/>
        </w:numPr>
        <w:ind w:left="1134" w:hanging="567"/>
        <w:rPr>
          <w:rFonts w:ascii="Times New Roman" w:hAnsi="Times New Roman" w:cs="Times New Roman"/>
        </w:rPr>
      </w:pPr>
      <w:r w:rsidRPr="00EA1647">
        <w:rPr>
          <w:rFonts w:ascii="Times New Roman" w:hAnsi="Times New Roman" w:cs="Times New Roman"/>
        </w:rPr>
        <w:t>výsledek hodnocení.</w:t>
      </w:r>
    </w:p>
    <w:p w14:paraId="57115FC9" w14:textId="77777777" w:rsidR="00EA1647" w:rsidRPr="00EA1647" w:rsidRDefault="00EA1647" w:rsidP="00EA1647">
      <w:pPr>
        <w:spacing w:line="276" w:lineRule="auto"/>
        <w:jc w:val="both"/>
        <w:rPr>
          <w:rFonts w:ascii="Times New Roman" w:hAnsi="Times New Roman" w:cs="Times New Roman"/>
          <w:bCs/>
          <w:sz w:val="22"/>
          <w:szCs w:val="22"/>
        </w:rPr>
      </w:pPr>
    </w:p>
    <w:p w14:paraId="57115FCA"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Uzavření smlouvy s dodavatelem</w:t>
      </w:r>
    </w:p>
    <w:p w14:paraId="57115FCB"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Zadavatel je povinen vybrat k uzavření smlouvy účastníka zadávacího řízení, jehož nabídka byla vyhodnocena jako ekonomicky nejvýhodnější podle výsledku hodnocení nabídek. Smlouva musí být uzavřena ve shodě se zadávacími podmínkami a vybranou nabídkou.</w:t>
      </w:r>
    </w:p>
    <w:p w14:paraId="57115FCC"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Pokud vybraný účastník odmítne uzavřít smlouvu nebo zadavateli neposkytne dostatečnou součinnost k jejímu uzavření, může zadavatel vyzvat k uzavření smlouvy dalšího účastníka zadávacího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V případě, že účastník neposkytl zadavateli dostatečnou součinnost, </w:t>
      </w:r>
      <w:proofErr w:type="gramStart"/>
      <w:r w:rsidRPr="00EA1647">
        <w:rPr>
          <w:rFonts w:ascii="Times New Roman" w:hAnsi="Times New Roman" w:cs="Times New Roman"/>
        </w:rPr>
        <w:t>doloží</w:t>
      </w:r>
      <w:proofErr w:type="gramEnd"/>
      <w:r w:rsidRPr="00EA1647">
        <w:rPr>
          <w:rFonts w:ascii="Times New Roman" w:hAnsi="Times New Roman" w:cs="Times New Roman"/>
        </w:rPr>
        <w:t xml:space="preserve"> zadavatel tuto skutečnost písemně formou čestného prohlášení.</w:t>
      </w:r>
    </w:p>
    <w:p w14:paraId="57115FCD"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Smlouva musí mít písemnou formu a musí obsahovat alespoň tyto náležitosti:</w:t>
      </w:r>
    </w:p>
    <w:p w14:paraId="57115FCE" w14:textId="77777777" w:rsidR="00EA1647" w:rsidRPr="00EA1647" w:rsidRDefault="00EA1647" w:rsidP="00EA1647">
      <w:pPr>
        <w:pStyle w:val="Nadpis2"/>
        <w:numPr>
          <w:ilvl w:val="0"/>
          <w:numId w:val="10"/>
        </w:numPr>
        <w:ind w:left="1134" w:hanging="567"/>
        <w:rPr>
          <w:rFonts w:ascii="Times New Roman" w:hAnsi="Times New Roman" w:cs="Times New Roman"/>
        </w:rPr>
      </w:pPr>
      <w:r w:rsidRPr="00EA1647">
        <w:rPr>
          <w:rFonts w:ascii="Times New Roman" w:hAnsi="Times New Roman" w:cs="Times New Roman"/>
        </w:rPr>
        <w:t xml:space="preserve">označení smluvních stran vč. IČO a </w:t>
      </w:r>
      <w:proofErr w:type="gramStart"/>
      <w:r w:rsidRPr="00EA1647">
        <w:rPr>
          <w:rFonts w:ascii="Times New Roman" w:hAnsi="Times New Roman" w:cs="Times New Roman"/>
        </w:rPr>
        <w:t>DIČ</w:t>
      </w:r>
      <w:proofErr w:type="gramEnd"/>
      <w:r w:rsidRPr="00EA1647">
        <w:rPr>
          <w:rFonts w:ascii="Times New Roman" w:hAnsi="Times New Roman" w:cs="Times New Roman"/>
        </w:rPr>
        <w:t xml:space="preserve"> pokud jsou přiděleny;</w:t>
      </w:r>
    </w:p>
    <w:p w14:paraId="57115FCF" w14:textId="77777777" w:rsidR="00EA1647" w:rsidRPr="00EA1647" w:rsidRDefault="00EA1647" w:rsidP="00EA1647">
      <w:pPr>
        <w:pStyle w:val="Nadpis2"/>
        <w:numPr>
          <w:ilvl w:val="0"/>
          <w:numId w:val="10"/>
        </w:numPr>
        <w:ind w:left="1134" w:hanging="567"/>
        <w:rPr>
          <w:rFonts w:ascii="Times New Roman" w:hAnsi="Times New Roman" w:cs="Times New Roman"/>
        </w:rPr>
      </w:pPr>
      <w:r w:rsidRPr="00EA1647">
        <w:rPr>
          <w:rFonts w:ascii="Times New Roman" w:hAnsi="Times New Roman" w:cs="Times New Roman"/>
        </w:rPr>
        <w:t>předmět plnění (konkretizovaný kvantitativně i kvalitativně);</w:t>
      </w:r>
    </w:p>
    <w:p w14:paraId="57115FD0" w14:textId="77777777" w:rsidR="00EA1647" w:rsidRPr="00EA1647" w:rsidRDefault="00EA1647" w:rsidP="00EA1647">
      <w:pPr>
        <w:pStyle w:val="Nadpis2"/>
        <w:numPr>
          <w:ilvl w:val="0"/>
          <w:numId w:val="10"/>
        </w:numPr>
        <w:ind w:left="1134" w:hanging="567"/>
        <w:rPr>
          <w:rFonts w:ascii="Times New Roman" w:hAnsi="Times New Roman" w:cs="Times New Roman"/>
        </w:rPr>
      </w:pPr>
      <w:r w:rsidRPr="00EA1647">
        <w:rPr>
          <w:rFonts w:ascii="Times New Roman" w:hAnsi="Times New Roman" w:cs="Times New Roman"/>
        </w:rPr>
        <w:t>cena bez DPH a informaci, zda dodavatel je či není plátcem DPH, platební podmínky;</w:t>
      </w:r>
    </w:p>
    <w:p w14:paraId="57115FD1" w14:textId="77777777" w:rsidR="00EA1647" w:rsidRPr="00EA1647" w:rsidRDefault="00EA1647" w:rsidP="00EA1647">
      <w:pPr>
        <w:pStyle w:val="Nadpis2"/>
        <w:numPr>
          <w:ilvl w:val="0"/>
          <w:numId w:val="10"/>
        </w:numPr>
        <w:ind w:left="1134" w:hanging="567"/>
        <w:rPr>
          <w:rFonts w:ascii="Times New Roman" w:hAnsi="Times New Roman" w:cs="Times New Roman"/>
        </w:rPr>
      </w:pPr>
      <w:r w:rsidRPr="00EA1647">
        <w:rPr>
          <w:rFonts w:ascii="Times New Roman" w:hAnsi="Times New Roman" w:cs="Times New Roman"/>
        </w:rPr>
        <w:t>doba a místo plnění;</w:t>
      </w:r>
    </w:p>
    <w:p w14:paraId="57115FD2" w14:textId="77777777" w:rsidR="00EA1647" w:rsidRPr="00EA1647" w:rsidRDefault="00EA1647" w:rsidP="00EA1647">
      <w:pPr>
        <w:pStyle w:val="Nadpis2"/>
        <w:numPr>
          <w:ilvl w:val="0"/>
          <w:numId w:val="10"/>
        </w:numPr>
        <w:ind w:left="1134" w:hanging="567"/>
        <w:rPr>
          <w:rFonts w:ascii="Times New Roman" w:hAnsi="Times New Roman" w:cs="Times New Roman"/>
        </w:rPr>
      </w:pPr>
      <w:r w:rsidRPr="00EA1647">
        <w:rPr>
          <w:rFonts w:ascii="Times New Roman" w:hAnsi="Times New Roman" w:cs="Times New Roman"/>
        </w:rPr>
        <w:t>další obligatorní náležitosti dle zákona č. 89/2012 Sb., občanského zákoníku.</w:t>
      </w:r>
    </w:p>
    <w:p w14:paraId="57115FD3" w14:textId="77777777" w:rsidR="00EA1647" w:rsidRPr="00EA1647" w:rsidRDefault="00EA1647" w:rsidP="00EA1647">
      <w:pPr>
        <w:spacing w:line="276" w:lineRule="auto"/>
        <w:jc w:val="both"/>
        <w:rPr>
          <w:rFonts w:ascii="Times New Roman" w:hAnsi="Times New Roman" w:cs="Times New Roman"/>
          <w:bCs/>
          <w:sz w:val="22"/>
          <w:szCs w:val="22"/>
        </w:rPr>
      </w:pPr>
    </w:p>
    <w:p w14:paraId="57115FD4"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Uveřejnění smlouvy</w:t>
      </w:r>
    </w:p>
    <w:p w14:paraId="57115FD5"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Pokud cena zakázky přesahuje 500 000,- Kč bez DPH, je povinností zadavatele, dle § 219 odst. 1) ZZVZ, uveřejnit na profilu zadavatele uzavřenou smlouvu na veřejnou zakázku včetně všech jejích změn a dodatků, a to do 15 dnů ode dne jejich uzavření nebo od konce každého čtvrtletí v případě veřejných zakázek zadávaných na základě rámcové dohody nebo v dynamickém nákupním systému. </w:t>
      </w:r>
    </w:p>
    <w:p w14:paraId="57115FD6"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Zadavatel nemusí uveřejňovat na profilu zadavatele smlouvy, které uveřejnil v souladu se zákonem č. 340/2015 Sb. o registru smluv. Zadavatel uveřejní na profilu zadavatele rámcovou dohodu do 15 dnů od jejího uzavření.</w:t>
      </w:r>
    </w:p>
    <w:p w14:paraId="57115FD7" w14:textId="77777777" w:rsidR="00EA1647" w:rsidRPr="00EA1647" w:rsidRDefault="00EA1647" w:rsidP="00EA1647">
      <w:pPr>
        <w:spacing w:line="276" w:lineRule="auto"/>
        <w:jc w:val="both"/>
        <w:rPr>
          <w:rFonts w:ascii="Times New Roman" w:hAnsi="Times New Roman" w:cs="Times New Roman"/>
          <w:bCs/>
          <w:sz w:val="22"/>
          <w:szCs w:val="22"/>
        </w:rPr>
      </w:pPr>
    </w:p>
    <w:p w14:paraId="57115FD8"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 xml:space="preserve">Uveřejnění skutečně hrazené ceny </w:t>
      </w:r>
    </w:p>
    <w:p w14:paraId="57115FD9"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Zadavatel uveřejní nejpozději do 3 měsíců od splnění smlouvy na profilu zadavatele výši skutečně uhrazené ceny za plnění smlouvy, na kterou se vztahuje povinnost uveřejnění. U smlouvy, jejíž doba plnění přesahuje 1 rok, uveřejní zadavatel nejpozději do 31. března následujícího kalendářního roku cenu za plnění smlouvy v předchozím kalendářním roce. </w:t>
      </w:r>
    </w:p>
    <w:p w14:paraId="57115FDA" w14:textId="77777777" w:rsidR="00EA1647" w:rsidRPr="00EA1647" w:rsidRDefault="00EA1647" w:rsidP="00EA1647">
      <w:pPr>
        <w:spacing w:line="276" w:lineRule="auto"/>
        <w:jc w:val="both"/>
        <w:rPr>
          <w:rFonts w:ascii="Times New Roman" w:hAnsi="Times New Roman" w:cs="Times New Roman"/>
          <w:bCs/>
          <w:sz w:val="22"/>
          <w:szCs w:val="22"/>
        </w:rPr>
      </w:pPr>
    </w:p>
    <w:p w14:paraId="57115FDB"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lastRenderedPageBreak/>
        <w:t>Zrušení zadávacího řízení</w:t>
      </w:r>
    </w:p>
    <w:p w14:paraId="57115FDC"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Zadavatel je oprávněn zadávací řízení zrušit, nejpozději však do uzavření smlouvy. O zrušení zadávacího řízení je zadavatel povinen do 3 pracovních dnů informovat všechny účastníky, kteří podali nabídku ve lhůtě pro podání nabídek.</w:t>
      </w:r>
    </w:p>
    <w:p w14:paraId="57115FDD"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V případě zrušení zadávacího řízení v době běhu lhůty pro podávání nabídek, zadavatel oznámí zrušení zadávacího řízení stejným způsobem, jakým toto zadávací řízení zahájil.</w:t>
      </w:r>
    </w:p>
    <w:p w14:paraId="57115FDE" w14:textId="77777777" w:rsidR="00EA1647" w:rsidRPr="00EA1647" w:rsidRDefault="00EA1647" w:rsidP="00EA1647">
      <w:pPr>
        <w:spacing w:line="276" w:lineRule="auto"/>
        <w:jc w:val="both"/>
        <w:rPr>
          <w:rFonts w:ascii="Times New Roman" w:hAnsi="Times New Roman" w:cs="Times New Roman"/>
          <w:bCs/>
          <w:sz w:val="22"/>
          <w:szCs w:val="22"/>
        </w:rPr>
      </w:pPr>
    </w:p>
    <w:p w14:paraId="57115FDF"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Výjimky ze směrnice</w:t>
      </w:r>
    </w:p>
    <w:p w14:paraId="57115FE0"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Zadavatel v případě havárie nebo ohrožení života a zdraví osob, může rozhodnout o výjimce ze směrnice a zadat zakázku přímo jedinému dodavateli. Toto rozhodnutí odsouhlasí zastupitelstvo obce. </w:t>
      </w:r>
    </w:p>
    <w:p w14:paraId="57115FE1" w14:textId="77777777" w:rsidR="00EA1647" w:rsidRPr="00EA1647" w:rsidRDefault="00EA1647" w:rsidP="00EA1647">
      <w:pPr>
        <w:spacing w:line="276" w:lineRule="auto"/>
        <w:jc w:val="both"/>
        <w:rPr>
          <w:rFonts w:ascii="Times New Roman" w:hAnsi="Times New Roman" w:cs="Times New Roman"/>
          <w:bCs/>
          <w:sz w:val="22"/>
          <w:szCs w:val="22"/>
        </w:rPr>
      </w:pPr>
    </w:p>
    <w:p w14:paraId="57115FE2" w14:textId="77777777" w:rsidR="00EA1647" w:rsidRPr="00EA1647" w:rsidRDefault="00EA1647" w:rsidP="00EA1647">
      <w:pPr>
        <w:pStyle w:val="Nadpis1"/>
        <w:rPr>
          <w:rFonts w:ascii="Times New Roman" w:hAnsi="Times New Roman" w:cs="Times New Roman"/>
        </w:rPr>
      </w:pPr>
      <w:r w:rsidRPr="00EA1647">
        <w:rPr>
          <w:rFonts w:ascii="Times New Roman" w:hAnsi="Times New Roman" w:cs="Times New Roman"/>
        </w:rPr>
        <w:t>Archivace dokumentace</w:t>
      </w:r>
    </w:p>
    <w:p w14:paraId="57115FE3"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Veškerá komunikace mezi zadavatelem a dodavateli bude vždy písemnou formou (poštou nebo e-mailem).</w:t>
      </w:r>
    </w:p>
    <w:p w14:paraId="57115FE4"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Zadavatel je povinen uchovávat veškerou dokumentaci o veřejné zakázce a záznamy o elektronických úkonech související se zadáním zakázky.</w:t>
      </w:r>
    </w:p>
    <w:p w14:paraId="57115FE5" w14:textId="77777777" w:rsidR="00EA1647" w:rsidRPr="00EA1647" w:rsidRDefault="00EA1647" w:rsidP="00EA1647">
      <w:pPr>
        <w:pStyle w:val="Nadpis2"/>
        <w:rPr>
          <w:rFonts w:ascii="Times New Roman" w:hAnsi="Times New Roman" w:cs="Times New Roman"/>
        </w:rPr>
      </w:pPr>
      <w:r w:rsidRPr="00EA1647">
        <w:rPr>
          <w:rFonts w:ascii="Times New Roman" w:hAnsi="Times New Roman" w:cs="Times New Roman"/>
        </w:rPr>
        <w:t xml:space="preserve">Veškeré písemnosti související s výběrem dodavatele musí být zadavatelem archivovány. </w:t>
      </w:r>
    </w:p>
    <w:p w14:paraId="57115FE6" w14:textId="77777777" w:rsidR="00EA1647" w:rsidRPr="00EA1647" w:rsidRDefault="00EA1647" w:rsidP="00EA1647">
      <w:pPr>
        <w:spacing w:line="276" w:lineRule="auto"/>
        <w:ind w:left="851" w:hanging="567"/>
        <w:jc w:val="both"/>
        <w:rPr>
          <w:rFonts w:ascii="Times New Roman" w:hAnsi="Times New Roman" w:cs="Times New Roman"/>
          <w:bCs/>
          <w:sz w:val="22"/>
          <w:szCs w:val="22"/>
        </w:rPr>
      </w:pPr>
    </w:p>
    <w:p w14:paraId="57115FE7" w14:textId="77777777" w:rsidR="00184F13" w:rsidRPr="00EA1647" w:rsidRDefault="00184F13" w:rsidP="00264363">
      <w:pPr>
        <w:rPr>
          <w:rFonts w:ascii="Times New Roman" w:hAnsi="Times New Roman" w:cs="Times New Roman"/>
        </w:rPr>
      </w:pPr>
    </w:p>
    <w:p w14:paraId="57115FE8" w14:textId="77777777" w:rsidR="00EA1647" w:rsidRDefault="00A84CED" w:rsidP="00264363">
      <w:pPr>
        <w:rPr>
          <w:rFonts w:ascii="Times New Roman" w:hAnsi="Times New Roman" w:cs="Times New Roman"/>
          <w:sz w:val="22"/>
          <w:szCs w:val="22"/>
        </w:rPr>
      </w:pPr>
      <w:r w:rsidRPr="00A84CED">
        <w:rPr>
          <w:rFonts w:ascii="Times New Roman" w:hAnsi="Times New Roman" w:cs="Times New Roman"/>
          <w:sz w:val="22"/>
          <w:szCs w:val="22"/>
        </w:rPr>
        <w:t xml:space="preserve">Tato směrnice </w:t>
      </w:r>
      <w:r>
        <w:rPr>
          <w:rFonts w:ascii="Times New Roman" w:hAnsi="Times New Roman" w:cs="Times New Roman"/>
          <w:sz w:val="22"/>
          <w:szCs w:val="22"/>
        </w:rPr>
        <w:t>nabývá účinnosti</w:t>
      </w:r>
      <w:r w:rsidRPr="00A84CED">
        <w:rPr>
          <w:rFonts w:ascii="Times New Roman" w:hAnsi="Times New Roman" w:cs="Times New Roman"/>
          <w:sz w:val="22"/>
          <w:szCs w:val="22"/>
        </w:rPr>
        <w:t xml:space="preserve"> dnem schválení Zastupitelstva obce Hlízov.</w:t>
      </w:r>
    </w:p>
    <w:p w14:paraId="57115FE9" w14:textId="77777777" w:rsidR="00A84CED" w:rsidRDefault="00A84CED" w:rsidP="00264363">
      <w:pPr>
        <w:rPr>
          <w:rFonts w:ascii="Times New Roman" w:hAnsi="Times New Roman" w:cs="Times New Roman"/>
          <w:sz w:val="22"/>
          <w:szCs w:val="22"/>
        </w:rPr>
      </w:pPr>
    </w:p>
    <w:p w14:paraId="57115FEA" w14:textId="3610E7DF" w:rsidR="00A84CED" w:rsidRDefault="00A84CED" w:rsidP="00A84CED">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rPr>
      </w:pPr>
      <w:r w:rsidRPr="00A84CED">
        <w:rPr>
          <w:rFonts w:ascii="Times New Roman" w:hAnsi="Times New Roman" w:cs="Times New Roman"/>
          <w:b/>
          <w:sz w:val="22"/>
          <w:szCs w:val="22"/>
        </w:rPr>
        <w:t xml:space="preserve">Doložka o schválení </w:t>
      </w:r>
      <w:r w:rsidR="008519EF">
        <w:rPr>
          <w:rFonts w:ascii="Times New Roman" w:hAnsi="Times New Roman" w:cs="Times New Roman"/>
          <w:b/>
          <w:sz w:val="22"/>
          <w:szCs w:val="22"/>
        </w:rPr>
        <w:t>ZO</w:t>
      </w:r>
      <w:r w:rsidRPr="00A84CED">
        <w:rPr>
          <w:rFonts w:ascii="Times New Roman" w:hAnsi="Times New Roman" w:cs="Times New Roman"/>
          <w:b/>
          <w:sz w:val="22"/>
          <w:szCs w:val="22"/>
        </w:rPr>
        <w:t xml:space="preserve"> Hlízov</w:t>
      </w:r>
      <w:r>
        <w:rPr>
          <w:rFonts w:ascii="Times New Roman" w:hAnsi="Times New Roman" w:cs="Times New Roman"/>
          <w:b/>
          <w:sz w:val="22"/>
          <w:szCs w:val="22"/>
        </w:rPr>
        <w:t xml:space="preserve">: </w:t>
      </w:r>
      <w:proofErr w:type="spellStart"/>
      <w:r w:rsidRPr="00A84CED">
        <w:rPr>
          <w:rFonts w:ascii="Times New Roman" w:hAnsi="Times New Roman" w:cs="Times New Roman"/>
          <w:b/>
          <w:sz w:val="22"/>
          <w:szCs w:val="22"/>
        </w:rPr>
        <w:t>usn</w:t>
      </w:r>
      <w:proofErr w:type="spellEnd"/>
      <w:r w:rsidRPr="00A84CED">
        <w:rPr>
          <w:rFonts w:ascii="Times New Roman" w:hAnsi="Times New Roman" w:cs="Times New Roman"/>
          <w:b/>
          <w:sz w:val="22"/>
          <w:szCs w:val="22"/>
        </w:rPr>
        <w:t xml:space="preserve">. č. </w:t>
      </w:r>
    </w:p>
    <w:p w14:paraId="57115FEB" w14:textId="419C2DAE" w:rsidR="00A84CED" w:rsidRPr="00A84CED" w:rsidRDefault="00A84CED" w:rsidP="00A84CED">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rPr>
      </w:pPr>
      <w:r>
        <w:rPr>
          <w:rFonts w:ascii="Times New Roman" w:hAnsi="Times New Roman" w:cs="Times New Roman"/>
          <w:sz w:val="20"/>
          <w:szCs w:val="20"/>
        </w:rPr>
        <w:t xml:space="preserve">zapisovatel: </w:t>
      </w:r>
    </w:p>
    <w:p w14:paraId="57115FEC" w14:textId="77777777" w:rsidR="00A84CED" w:rsidRDefault="00A84CED" w:rsidP="00264363">
      <w:pPr>
        <w:rPr>
          <w:rFonts w:ascii="Times New Roman" w:hAnsi="Times New Roman" w:cs="Times New Roman"/>
          <w:sz w:val="22"/>
          <w:szCs w:val="22"/>
        </w:rPr>
      </w:pPr>
    </w:p>
    <w:p w14:paraId="57115FED" w14:textId="1F91339F" w:rsidR="00EA1647" w:rsidRDefault="00EA1647" w:rsidP="00264363">
      <w:pPr>
        <w:rPr>
          <w:rFonts w:ascii="Times New Roman" w:hAnsi="Times New Roman" w:cs="Times New Roman"/>
          <w:sz w:val="22"/>
          <w:szCs w:val="22"/>
        </w:rPr>
      </w:pPr>
      <w:r w:rsidRPr="00A84CED">
        <w:rPr>
          <w:rFonts w:ascii="Times New Roman" w:hAnsi="Times New Roman" w:cs="Times New Roman"/>
          <w:sz w:val="22"/>
          <w:szCs w:val="22"/>
        </w:rPr>
        <w:t xml:space="preserve">V Hlízově </w:t>
      </w:r>
    </w:p>
    <w:p w14:paraId="57115FEE" w14:textId="77777777" w:rsidR="00A84CED" w:rsidRDefault="00A84CED" w:rsidP="00264363">
      <w:pPr>
        <w:rPr>
          <w:rFonts w:ascii="Times New Roman" w:hAnsi="Times New Roman" w:cs="Times New Roman"/>
          <w:sz w:val="22"/>
          <w:szCs w:val="22"/>
        </w:rPr>
      </w:pPr>
    </w:p>
    <w:p w14:paraId="57115FEF" w14:textId="77777777" w:rsidR="00A84CED" w:rsidRDefault="00A84CED" w:rsidP="00264363">
      <w:pPr>
        <w:rPr>
          <w:rFonts w:ascii="Times New Roman" w:hAnsi="Times New Roman" w:cs="Times New Roman"/>
          <w:sz w:val="22"/>
          <w:szCs w:val="22"/>
        </w:rPr>
      </w:pPr>
    </w:p>
    <w:p w14:paraId="57115FF0" w14:textId="77777777" w:rsidR="00A84CED" w:rsidRDefault="00A84CED" w:rsidP="00264363">
      <w:pPr>
        <w:rPr>
          <w:rFonts w:ascii="Times New Roman" w:hAnsi="Times New Roman" w:cs="Times New Roman"/>
          <w:sz w:val="22"/>
          <w:szCs w:val="22"/>
        </w:rPr>
      </w:pPr>
      <w:r>
        <w:rPr>
          <w:rFonts w:ascii="Times New Roman" w:hAnsi="Times New Roman" w:cs="Times New Roman"/>
          <w:sz w:val="22"/>
          <w:szCs w:val="22"/>
        </w:rPr>
        <w:t>………………………………                                                         …………………………………</w:t>
      </w:r>
    </w:p>
    <w:p w14:paraId="57115FF1" w14:textId="77777777" w:rsidR="00A84CED" w:rsidRPr="00A84CED" w:rsidRDefault="00A84CED" w:rsidP="00264363">
      <w:pPr>
        <w:rPr>
          <w:rFonts w:ascii="Times New Roman" w:hAnsi="Times New Roman" w:cs="Times New Roman"/>
          <w:sz w:val="22"/>
          <w:szCs w:val="22"/>
        </w:rPr>
      </w:pPr>
      <w:r>
        <w:rPr>
          <w:rFonts w:ascii="Times New Roman" w:hAnsi="Times New Roman" w:cs="Times New Roman"/>
          <w:sz w:val="22"/>
          <w:szCs w:val="22"/>
        </w:rPr>
        <w:t xml:space="preserve">     starosta obce Hlízov                                                                       místostarostka obce Hlízov</w:t>
      </w:r>
    </w:p>
    <w:sectPr w:rsidR="00A84CED" w:rsidRPr="00A84CED" w:rsidSect="00EA1647">
      <w:pgSz w:w="11906" w:h="16838"/>
      <w:pgMar w:top="1276" w:right="141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949"/>
    <w:multiLevelType w:val="multilevel"/>
    <w:tmpl w:val="06AC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83A16"/>
    <w:multiLevelType w:val="multilevel"/>
    <w:tmpl w:val="5F060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75F10"/>
    <w:multiLevelType w:val="hybridMultilevel"/>
    <w:tmpl w:val="8A58F42E"/>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3" w15:restartNumberingAfterBreak="0">
    <w:nsid w:val="3EA34592"/>
    <w:multiLevelType w:val="hybridMultilevel"/>
    <w:tmpl w:val="7E70353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41B51C8F"/>
    <w:multiLevelType w:val="multilevel"/>
    <w:tmpl w:val="6C8E8AE8"/>
    <w:lvl w:ilvl="0">
      <w:start w:val="1"/>
      <w:numFmt w:val="decimal"/>
      <w:lvlText w:val="%1."/>
      <w:lvlJc w:val="left"/>
      <w:pPr>
        <w:tabs>
          <w:tab w:val="num" w:pos="284"/>
        </w:tabs>
        <w:ind w:left="284" w:hanging="284"/>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4C00549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4E6C3A75"/>
    <w:multiLevelType w:val="hybridMultilevel"/>
    <w:tmpl w:val="D58852A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start w:val="1"/>
      <w:numFmt w:val="lowerRoman"/>
      <w:lvlText w:val="%3."/>
      <w:lvlJc w:val="right"/>
      <w:pPr>
        <w:ind w:left="3294" w:hanging="180"/>
      </w:pPr>
    </w:lvl>
    <w:lvl w:ilvl="3" w:tplc="0405000F">
      <w:start w:val="1"/>
      <w:numFmt w:val="decimal"/>
      <w:lvlText w:val="%4."/>
      <w:lvlJc w:val="left"/>
      <w:pPr>
        <w:ind w:left="4014" w:hanging="360"/>
      </w:pPr>
    </w:lvl>
    <w:lvl w:ilvl="4" w:tplc="04050019">
      <w:start w:val="1"/>
      <w:numFmt w:val="lowerLetter"/>
      <w:lvlText w:val="%5."/>
      <w:lvlJc w:val="left"/>
      <w:pPr>
        <w:ind w:left="4734" w:hanging="360"/>
      </w:pPr>
    </w:lvl>
    <w:lvl w:ilvl="5" w:tplc="0405001B">
      <w:start w:val="1"/>
      <w:numFmt w:val="lowerRoman"/>
      <w:lvlText w:val="%6."/>
      <w:lvlJc w:val="right"/>
      <w:pPr>
        <w:ind w:left="5454" w:hanging="180"/>
      </w:pPr>
    </w:lvl>
    <w:lvl w:ilvl="6" w:tplc="0405000F">
      <w:start w:val="1"/>
      <w:numFmt w:val="decimal"/>
      <w:lvlText w:val="%7."/>
      <w:lvlJc w:val="left"/>
      <w:pPr>
        <w:ind w:left="6174" w:hanging="360"/>
      </w:pPr>
    </w:lvl>
    <w:lvl w:ilvl="7" w:tplc="04050019">
      <w:start w:val="1"/>
      <w:numFmt w:val="lowerLetter"/>
      <w:lvlText w:val="%8."/>
      <w:lvlJc w:val="left"/>
      <w:pPr>
        <w:ind w:left="6894" w:hanging="360"/>
      </w:pPr>
    </w:lvl>
    <w:lvl w:ilvl="8" w:tplc="0405001B">
      <w:start w:val="1"/>
      <w:numFmt w:val="lowerRoman"/>
      <w:lvlText w:val="%9."/>
      <w:lvlJc w:val="right"/>
      <w:pPr>
        <w:ind w:left="7614" w:hanging="180"/>
      </w:pPr>
    </w:lvl>
  </w:abstractNum>
  <w:abstractNum w:abstractNumId="7" w15:restartNumberingAfterBreak="0">
    <w:nsid w:val="57424E2A"/>
    <w:multiLevelType w:val="hybridMultilevel"/>
    <w:tmpl w:val="CBF64F6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8" w15:restartNumberingAfterBreak="0">
    <w:nsid w:val="5D2C5868"/>
    <w:multiLevelType w:val="multilevel"/>
    <w:tmpl w:val="1346DFAE"/>
    <w:lvl w:ilvl="0">
      <w:start w:val="1"/>
      <w:numFmt w:val="decimal"/>
      <w:lvlText w:val="%1."/>
      <w:lvlJc w:val="left"/>
      <w:pPr>
        <w:tabs>
          <w:tab w:val="num" w:pos="426"/>
        </w:tabs>
        <w:ind w:left="426" w:hanging="426"/>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7C5772A2"/>
    <w:multiLevelType w:val="hybridMultilevel"/>
    <w:tmpl w:val="E9AAE1B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num w:numId="1" w16cid:durableId="465398185">
    <w:abstractNumId w:val="0"/>
  </w:num>
  <w:num w:numId="2" w16cid:durableId="288360217">
    <w:abstractNumId w:val="1"/>
  </w:num>
  <w:num w:numId="3" w16cid:durableId="1848211321">
    <w:abstractNumId w:val="4"/>
  </w:num>
  <w:num w:numId="4" w16cid:durableId="1977639706">
    <w:abstractNumId w:val="8"/>
  </w:num>
  <w:num w:numId="5" w16cid:durableId="569538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8782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5760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706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6813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2824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A7"/>
    <w:rsid w:val="000000CD"/>
    <w:rsid w:val="00011E14"/>
    <w:rsid w:val="000873DA"/>
    <w:rsid w:val="0016698A"/>
    <w:rsid w:val="00184F13"/>
    <w:rsid w:val="00264363"/>
    <w:rsid w:val="002A0154"/>
    <w:rsid w:val="002F17DB"/>
    <w:rsid w:val="00325A50"/>
    <w:rsid w:val="00441C4A"/>
    <w:rsid w:val="005A5985"/>
    <w:rsid w:val="005B68ED"/>
    <w:rsid w:val="00613DE4"/>
    <w:rsid w:val="0062206B"/>
    <w:rsid w:val="00697740"/>
    <w:rsid w:val="006F18AD"/>
    <w:rsid w:val="007B46F0"/>
    <w:rsid w:val="007E020B"/>
    <w:rsid w:val="00846ED9"/>
    <w:rsid w:val="008519EF"/>
    <w:rsid w:val="00852A0D"/>
    <w:rsid w:val="00893060"/>
    <w:rsid w:val="008A2B16"/>
    <w:rsid w:val="008B55A7"/>
    <w:rsid w:val="00A2566E"/>
    <w:rsid w:val="00A84CED"/>
    <w:rsid w:val="00BB0684"/>
    <w:rsid w:val="00CB0112"/>
    <w:rsid w:val="00CF0BDD"/>
    <w:rsid w:val="00CF6A4A"/>
    <w:rsid w:val="00D34AEC"/>
    <w:rsid w:val="00D46ABA"/>
    <w:rsid w:val="00EA1647"/>
    <w:rsid w:val="00EF1361"/>
    <w:rsid w:val="00F10F0D"/>
    <w:rsid w:val="00FD6BC6"/>
    <w:rsid w:val="00FE3753"/>
    <w:rsid w:val="00FE6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5F6B"/>
  <w15:chartTrackingRefBased/>
  <w15:docId w15:val="{A9FE0A40-0688-44E2-9A12-3DE6A749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C4A"/>
    <w:pPr>
      <w:spacing w:after="-1" w:line="300" w:lineRule="auto"/>
    </w:pPr>
    <w:rPr>
      <w:rFonts w:eastAsiaTheme="minorEastAsia"/>
      <w:sz w:val="21"/>
      <w:szCs w:val="21"/>
      <w:lang w:eastAsia="cs-CZ"/>
    </w:rPr>
  </w:style>
  <w:style w:type="paragraph" w:styleId="Nadpis1">
    <w:name w:val="heading 1"/>
    <w:basedOn w:val="Normln"/>
    <w:next w:val="Normln"/>
    <w:link w:val="Nadpis1Char"/>
    <w:uiPriority w:val="9"/>
    <w:qFormat/>
    <w:rsid w:val="00EA1647"/>
    <w:pPr>
      <w:numPr>
        <w:numId w:val="5"/>
      </w:numPr>
      <w:spacing w:after="0" w:line="276" w:lineRule="auto"/>
      <w:jc w:val="center"/>
      <w:outlineLvl w:val="0"/>
    </w:pPr>
    <w:rPr>
      <w:rFonts w:ascii="Arial" w:eastAsia="Times New Roman" w:hAnsi="Arial" w:cs="Arial"/>
      <w:b/>
      <w:sz w:val="22"/>
      <w:szCs w:val="22"/>
    </w:rPr>
  </w:style>
  <w:style w:type="paragraph" w:styleId="Nadpis2">
    <w:name w:val="heading 2"/>
    <w:basedOn w:val="Normln"/>
    <w:next w:val="Normln"/>
    <w:link w:val="Nadpis2Char"/>
    <w:uiPriority w:val="9"/>
    <w:semiHidden/>
    <w:unhideWhenUsed/>
    <w:qFormat/>
    <w:rsid w:val="00EA1647"/>
    <w:pPr>
      <w:numPr>
        <w:ilvl w:val="1"/>
        <w:numId w:val="5"/>
      </w:numPr>
      <w:spacing w:after="0" w:line="276" w:lineRule="auto"/>
      <w:jc w:val="both"/>
      <w:outlineLvl w:val="1"/>
    </w:pPr>
    <w:rPr>
      <w:rFonts w:ascii="Arial" w:eastAsia="Times New Roman" w:hAnsi="Arial" w:cs="Arial"/>
      <w:bCs/>
      <w:sz w:val="22"/>
      <w:szCs w:val="22"/>
    </w:rPr>
  </w:style>
  <w:style w:type="paragraph" w:styleId="Nadpis3">
    <w:name w:val="heading 3"/>
    <w:basedOn w:val="Normln"/>
    <w:next w:val="Normln"/>
    <w:link w:val="Nadpis3Char"/>
    <w:uiPriority w:val="9"/>
    <w:semiHidden/>
    <w:unhideWhenUsed/>
    <w:qFormat/>
    <w:rsid w:val="00EA1647"/>
    <w:pPr>
      <w:keepNext/>
      <w:keepLines/>
      <w:numPr>
        <w:ilvl w:val="2"/>
        <w:numId w:val="5"/>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EA1647"/>
    <w:pPr>
      <w:keepNext/>
      <w:keepLines/>
      <w:numPr>
        <w:ilvl w:val="3"/>
        <w:numId w:val="5"/>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Nadpis5">
    <w:name w:val="heading 5"/>
    <w:basedOn w:val="Normln"/>
    <w:next w:val="Normln"/>
    <w:link w:val="Nadpis5Char"/>
    <w:uiPriority w:val="9"/>
    <w:semiHidden/>
    <w:unhideWhenUsed/>
    <w:qFormat/>
    <w:rsid w:val="00EA1647"/>
    <w:pPr>
      <w:keepNext/>
      <w:keepLines/>
      <w:numPr>
        <w:ilvl w:val="4"/>
        <w:numId w:val="5"/>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EA1647"/>
    <w:pPr>
      <w:keepNext/>
      <w:keepLines/>
      <w:numPr>
        <w:ilvl w:val="5"/>
        <w:numId w:val="5"/>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EA1647"/>
    <w:pPr>
      <w:keepNext/>
      <w:keepLines/>
      <w:numPr>
        <w:ilvl w:val="6"/>
        <w:numId w:val="5"/>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EA1647"/>
    <w:pPr>
      <w:keepNext/>
      <w:keepLines/>
      <w:numPr>
        <w:ilvl w:val="7"/>
        <w:numId w:val="5"/>
      </w:numPr>
      <w:spacing w:before="40" w:after="0" w:line="240" w:lineRule="auto"/>
      <w:outlineLvl w:val="7"/>
    </w:pPr>
    <w:rPr>
      <w:rFonts w:asciiTheme="majorHAnsi" w:eastAsiaTheme="majorEastAsia" w:hAnsiTheme="majorHAnsi" w:cstheme="majorBidi"/>
      <w:color w:val="272727" w:themeColor="text1" w:themeTint="D8"/>
    </w:rPr>
  </w:style>
  <w:style w:type="paragraph" w:styleId="Nadpis9">
    <w:name w:val="heading 9"/>
    <w:basedOn w:val="Normln"/>
    <w:next w:val="Normln"/>
    <w:link w:val="Nadpis9Char"/>
    <w:uiPriority w:val="9"/>
    <w:semiHidden/>
    <w:unhideWhenUsed/>
    <w:qFormat/>
    <w:rsid w:val="00EA1647"/>
    <w:pPr>
      <w:keepNext/>
      <w:keepLines/>
      <w:numPr>
        <w:ilvl w:val="8"/>
        <w:numId w:val="5"/>
      </w:numPr>
      <w:spacing w:before="40" w:after="0" w:line="240" w:lineRule="auto"/>
      <w:outlineLvl w:val="8"/>
    </w:pPr>
    <w:rPr>
      <w:rFonts w:asciiTheme="majorHAnsi" w:eastAsiaTheme="majorEastAsia" w:hAnsiTheme="majorHAnsi" w:cstheme="majorBidi"/>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977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740"/>
    <w:rPr>
      <w:rFonts w:ascii="Segoe UI" w:hAnsi="Segoe UI" w:cs="Segoe UI"/>
      <w:sz w:val="18"/>
      <w:szCs w:val="18"/>
    </w:rPr>
  </w:style>
  <w:style w:type="character" w:styleId="Hypertextovodkaz">
    <w:name w:val="Hyperlink"/>
    <w:basedOn w:val="Standardnpsmoodstavce"/>
    <w:uiPriority w:val="99"/>
    <w:semiHidden/>
    <w:unhideWhenUsed/>
    <w:rsid w:val="00F10F0D"/>
    <w:rPr>
      <w:strike w:val="0"/>
      <w:dstrike w:val="0"/>
      <w:color w:val="05507A"/>
      <w:u w:val="none"/>
      <w:effect w:val="none"/>
    </w:rPr>
  </w:style>
  <w:style w:type="character" w:styleId="PromnnHTML">
    <w:name w:val="HTML Variable"/>
    <w:basedOn w:val="Standardnpsmoodstavce"/>
    <w:uiPriority w:val="99"/>
    <w:semiHidden/>
    <w:unhideWhenUsed/>
    <w:rsid w:val="00F10F0D"/>
    <w:rPr>
      <w:b/>
      <w:bCs/>
      <w:i w:val="0"/>
      <w:iCs w:val="0"/>
    </w:rPr>
  </w:style>
  <w:style w:type="paragraph" w:customStyle="1" w:styleId="font7">
    <w:name w:val="font_7"/>
    <w:basedOn w:val="Normln"/>
    <w:rsid w:val="00893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Standardnpsmoodstavce"/>
    <w:rsid w:val="00893060"/>
  </w:style>
  <w:style w:type="paragraph" w:customStyle="1" w:styleId="font8">
    <w:name w:val="font_8"/>
    <w:basedOn w:val="Normln"/>
    <w:rsid w:val="00893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EA1647"/>
    <w:rPr>
      <w:rFonts w:ascii="Arial" w:eastAsia="Times New Roman" w:hAnsi="Arial" w:cs="Arial"/>
      <w:b/>
      <w:lang w:eastAsia="cs-CZ"/>
    </w:rPr>
  </w:style>
  <w:style w:type="character" w:customStyle="1" w:styleId="Nadpis2Char">
    <w:name w:val="Nadpis 2 Char"/>
    <w:basedOn w:val="Standardnpsmoodstavce"/>
    <w:link w:val="Nadpis2"/>
    <w:uiPriority w:val="9"/>
    <w:semiHidden/>
    <w:rsid w:val="00EA1647"/>
    <w:rPr>
      <w:rFonts w:ascii="Arial" w:eastAsia="Times New Roman" w:hAnsi="Arial" w:cs="Arial"/>
      <w:bCs/>
      <w:lang w:eastAsia="cs-CZ"/>
    </w:rPr>
  </w:style>
  <w:style w:type="character" w:customStyle="1" w:styleId="Nadpis3Char">
    <w:name w:val="Nadpis 3 Char"/>
    <w:basedOn w:val="Standardnpsmoodstavce"/>
    <w:link w:val="Nadpis3"/>
    <w:uiPriority w:val="9"/>
    <w:semiHidden/>
    <w:rsid w:val="00EA1647"/>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EA1647"/>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EA1647"/>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647"/>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EA1647"/>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EA1647"/>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A1647"/>
    <w:rPr>
      <w:rFonts w:asciiTheme="majorHAnsi" w:eastAsiaTheme="majorEastAsia" w:hAnsiTheme="majorHAnsi" w:cstheme="majorBidi"/>
      <w:i/>
      <w:iCs/>
      <w:color w:val="272727" w:themeColor="text1" w:themeTint="D8"/>
      <w:sz w:val="21"/>
      <w:szCs w:val="21"/>
      <w:lang w:eastAsia="cs-CZ"/>
    </w:rPr>
  </w:style>
  <w:style w:type="paragraph" w:styleId="Zkladntext">
    <w:name w:val="Body Text"/>
    <w:basedOn w:val="Normln"/>
    <w:link w:val="ZkladntextChar"/>
    <w:uiPriority w:val="99"/>
    <w:semiHidden/>
    <w:unhideWhenUsed/>
    <w:rsid w:val="00EA1647"/>
    <w:pPr>
      <w:spacing w:after="0" w:line="240" w:lineRule="auto"/>
    </w:pPr>
    <w:rPr>
      <w:rFonts w:ascii="Courier New" w:eastAsia="Times New Roman" w:hAnsi="Courier New" w:cs="Courier New"/>
      <w:sz w:val="16"/>
      <w:szCs w:val="16"/>
    </w:rPr>
  </w:style>
  <w:style w:type="character" w:customStyle="1" w:styleId="ZkladntextChar">
    <w:name w:val="Základní text Char"/>
    <w:basedOn w:val="Standardnpsmoodstavce"/>
    <w:link w:val="Zkladntext"/>
    <w:uiPriority w:val="99"/>
    <w:semiHidden/>
    <w:rsid w:val="00EA1647"/>
    <w:rPr>
      <w:rFonts w:ascii="Courier New" w:eastAsia="Times New Roman" w:hAnsi="Courier New" w:cs="Courier New"/>
      <w:sz w:val="16"/>
      <w:szCs w:val="16"/>
      <w:lang w:eastAsia="cs-CZ"/>
    </w:rPr>
  </w:style>
  <w:style w:type="table" w:styleId="Mkatabulky">
    <w:name w:val="Table Grid"/>
    <w:basedOn w:val="Normlntabulka"/>
    <w:uiPriority w:val="99"/>
    <w:rsid w:val="00EA16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84714">
      <w:bodyDiv w:val="1"/>
      <w:marLeft w:val="0"/>
      <w:marRight w:val="0"/>
      <w:marTop w:val="0"/>
      <w:marBottom w:val="0"/>
      <w:divBdr>
        <w:top w:val="none" w:sz="0" w:space="0" w:color="auto"/>
        <w:left w:val="none" w:sz="0" w:space="0" w:color="auto"/>
        <w:bottom w:val="none" w:sz="0" w:space="0" w:color="auto"/>
        <w:right w:val="none" w:sz="0" w:space="0" w:color="auto"/>
      </w:divBdr>
      <w:divsChild>
        <w:div w:id="1553808046">
          <w:marLeft w:val="0"/>
          <w:marRight w:val="0"/>
          <w:marTop w:val="0"/>
          <w:marBottom w:val="0"/>
          <w:divBdr>
            <w:top w:val="none" w:sz="0" w:space="0" w:color="auto"/>
            <w:left w:val="none" w:sz="0" w:space="0" w:color="auto"/>
            <w:bottom w:val="none" w:sz="0" w:space="0" w:color="auto"/>
            <w:right w:val="none" w:sz="0" w:space="0" w:color="auto"/>
          </w:divBdr>
          <w:divsChild>
            <w:div w:id="534585762">
              <w:marLeft w:val="0"/>
              <w:marRight w:val="0"/>
              <w:marTop w:val="0"/>
              <w:marBottom w:val="0"/>
              <w:divBdr>
                <w:top w:val="single" w:sz="48" w:space="0" w:color="44A6D7"/>
                <w:left w:val="none" w:sz="0" w:space="0" w:color="auto"/>
                <w:bottom w:val="none" w:sz="0" w:space="0" w:color="auto"/>
                <w:right w:val="none" w:sz="0" w:space="0" w:color="auto"/>
              </w:divBdr>
              <w:divsChild>
                <w:div w:id="852762680">
                  <w:marLeft w:val="0"/>
                  <w:marRight w:val="0"/>
                  <w:marTop w:val="0"/>
                  <w:marBottom w:val="0"/>
                  <w:divBdr>
                    <w:top w:val="none" w:sz="0" w:space="0" w:color="auto"/>
                    <w:left w:val="none" w:sz="0" w:space="0" w:color="auto"/>
                    <w:bottom w:val="none" w:sz="0" w:space="0" w:color="auto"/>
                    <w:right w:val="none" w:sz="0" w:space="0" w:color="auto"/>
                  </w:divBdr>
                  <w:divsChild>
                    <w:div w:id="846869255">
                      <w:marLeft w:val="0"/>
                      <w:marRight w:val="0"/>
                      <w:marTop w:val="240"/>
                      <w:marBottom w:val="0"/>
                      <w:divBdr>
                        <w:top w:val="none" w:sz="0" w:space="0" w:color="auto"/>
                        <w:left w:val="none" w:sz="0" w:space="0" w:color="auto"/>
                        <w:bottom w:val="none" w:sz="0" w:space="0" w:color="auto"/>
                        <w:right w:val="none" w:sz="0" w:space="0" w:color="auto"/>
                      </w:divBdr>
                      <w:divsChild>
                        <w:div w:id="932861355">
                          <w:marLeft w:val="0"/>
                          <w:marRight w:val="0"/>
                          <w:marTop w:val="0"/>
                          <w:marBottom w:val="0"/>
                          <w:divBdr>
                            <w:top w:val="none" w:sz="0" w:space="0" w:color="auto"/>
                            <w:left w:val="none" w:sz="0" w:space="0" w:color="auto"/>
                            <w:bottom w:val="none" w:sz="0" w:space="0" w:color="auto"/>
                            <w:right w:val="none" w:sz="0" w:space="0" w:color="auto"/>
                          </w:divBdr>
                          <w:divsChild>
                            <w:div w:id="10158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86559">
      <w:bodyDiv w:val="1"/>
      <w:marLeft w:val="0"/>
      <w:marRight w:val="0"/>
      <w:marTop w:val="0"/>
      <w:marBottom w:val="0"/>
      <w:divBdr>
        <w:top w:val="none" w:sz="0" w:space="0" w:color="auto"/>
        <w:left w:val="none" w:sz="0" w:space="0" w:color="auto"/>
        <w:bottom w:val="none" w:sz="0" w:space="0" w:color="auto"/>
        <w:right w:val="none" w:sz="0" w:space="0" w:color="auto"/>
      </w:divBdr>
    </w:div>
    <w:div w:id="2137333386">
      <w:bodyDiv w:val="1"/>
      <w:marLeft w:val="0"/>
      <w:marRight w:val="0"/>
      <w:marTop w:val="0"/>
      <w:marBottom w:val="0"/>
      <w:divBdr>
        <w:top w:val="none" w:sz="0" w:space="0" w:color="auto"/>
        <w:left w:val="none" w:sz="0" w:space="0" w:color="auto"/>
        <w:bottom w:val="none" w:sz="0" w:space="0" w:color="auto"/>
        <w:right w:val="none" w:sz="0" w:space="0" w:color="auto"/>
      </w:divBdr>
      <w:divsChild>
        <w:div w:id="482746637">
          <w:marLeft w:val="0"/>
          <w:marRight w:val="0"/>
          <w:marTop w:val="0"/>
          <w:marBottom w:val="0"/>
          <w:divBdr>
            <w:top w:val="none" w:sz="0" w:space="0" w:color="auto"/>
            <w:left w:val="none" w:sz="0" w:space="0" w:color="auto"/>
            <w:bottom w:val="none" w:sz="0" w:space="0" w:color="auto"/>
            <w:right w:val="none" w:sz="0" w:space="0" w:color="auto"/>
          </w:divBdr>
          <w:divsChild>
            <w:div w:id="264576076">
              <w:marLeft w:val="0"/>
              <w:marRight w:val="0"/>
              <w:marTop w:val="0"/>
              <w:marBottom w:val="0"/>
              <w:divBdr>
                <w:top w:val="none" w:sz="0" w:space="0" w:color="auto"/>
                <w:left w:val="none" w:sz="0" w:space="0" w:color="auto"/>
                <w:bottom w:val="none" w:sz="0" w:space="0" w:color="auto"/>
                <w:right w:val="none" w:sz="0" w:space="0" w:color="auto"/>
              </w:divBdr>
              <w:divsChild>
                <w:div w:id="1507288742">
                  <w:marLeft w:val="0"/>
                  <w:marRight w:val="0"/>
                  <w:marTop w:val="0"/>
                  <w:marBottom w:val="0"/>
                  <w:divBdr>
                    <w:top w:val="none" w:sz="0" w:space="0" w:color="auto"/>
                    <w:left w:val="none" w:sz="0" w:space="0" w:color="auto"/>
                    <w:bottom w:val="none" w:sz="0" w:space="0" w:color="auto"/>
                    <w:right w:val="none" w:sz="0" w:space="0" w:color="auto"/>
                  </w:divBdr>
                  <w:divsChild>
                    <w:div w:id="1545824596">
                      <w:marLeft w:val="0"/>
                      <w:marRight w:val="0"/>
                      <w:marTop w:val="0"/>
                      <w:marBottom w:val="0"/>
                      <w:divBdr>
                        <w:top w:val="none" w:sz="0" w:space="0" w:color="auto"/>
                        <w:left w:val="none" w:sz="0" w:space="0" w:color="auto"/>
                        <w:bottom w:val="none" w:sz="0" w:space="0" w:color="auto"/>
                        <w:right w:val="none" w:sz="0" w:space="0" w:color="auto"/>
                      </w:divBdr>
                      <w:divsChild>
                        <w:div w:id="356199466">
                          <w:marLeft w:val="0"/>
                          <w:marRight w:val="0"/>
                          <w:marTop w:val="0"/>
                          <w:marBottom w:val="0"/>
                          <w:divBdr>
                            <w:top w:val="none" w:sz="0" w:space="0" w:color="auto"/>
                            <w:left w:val="none" w:sz="0" w:space="0" w:color="auto"/>
                            <w:bottom w:val="none" w:sz="0" w:space="0" w:color="auto"/>
                            <w:right w:val="none" w:sz="0" w:space="0" w:color="auto"/>
                          </w:divBdr>
                          <w:divsChild>
                            <w:div w:id="1746997069">
                              <w:marLeft w:val="0"/>
                              <w:marRight w:val="0"/>
                              <w:marTop w:val="0"/>
                              <w:marBottom w:val="0"/>
                              <w:divBdr>
                                <w:top w:val="none" w:sz="0" w:space="0" w:color="auto"/>
                                <w:left w:val="none" w:sz="0" w:space="0" w:color="auto"/>
                                <w:bottom w:val="none" w:sz="0" w:space="0" w:color="auto"/>
                                <w:right w:val="none" w:sz="0" w:space="0" w:color="auto"/>
                              </w:divBdr>
                              <w:divsChild>
                                <w:div w:id="2092506627">
                                  <w:marLeft w:val="0"/>
                                  <w:marRight w:val="0"/>
                                  <w:marTop w:val="0"/>
                                  <w:marBottom w:val="0"/>
                                  <w:divBdr>
                                    <w:top w:val="none" w:sz="0" w:space="0" w:color="auto"/>
                                    <w:left w:val="none" w:sz="0" w:space="0" w:color="auto"/>
                                    <w:bottom w:val="none" w:sz="0" w:space="0" w:color="auto"/>
                                    <w:right w:val="none" w:sz="0" w:space="0" w:color="auto"/>
                                  </w:divBdr>
                                  <w:divsChild>
                                    <w:div w:id="442262014">
                                      <w:marLeft w:val="0"/>
                                      <w:marRight w:val="0"/>
                                      <w:marTop w:val="0"/>
                                      <w:marBottom w:val="0"/>
                                      <w:divBdr>
                                        <w:top w:val="none" w:sz="0" w:space="0" w:color="auto"/>
                                        <w:left w:val="none" w:sz="0" w:space="0" w:color="auto"/>
                                        <w:bottom w:val="none" w:sz="0" w:space="0" w:color="auto"/>
                                        <w:right w:val="none" w:sz="0" w:space="0" w:color="auto"/>
                                      </w:divBdr>
                                      <w:divsChild>
                                        <w:div w:id="55518661">
                                          <w:marLeft w:val="0"/>
                                          <w:marRight w:val="0"/>
                                          <w:marTop w:val="0"/>
                                          <w:marBottom w:val="0"/>
                                          <w:divBdr>
                                            <w:top w:val="none" w:sz="0" w:space="0" w:color="auto"/>
                                            <w:left w:val="none" w:sz="0" w:space="0" w:color="auto"/>
                                            <w:bottom w:val="none" w:sz="0" w:space="0" w:color="auto"/>
                                            <w:right w:val="none" w:sz="0" w:space="0" w:color="auto"/>
                                          </w:divBdr>
                                          <w:divsChild>
                                            <w:div w:id="29494927">
                                              <w:marLeft w:val="0"/>
                                              <w:marRight w:val="0"/>
                                              <w:marTop w:val="0"/>
                                              <w:marBottom w:val="0"/>
                                              <w:divBdr>
                                                <w:top w:val="none" w:sz="0" w:space="0" w:color="auto"/>
                                                <w:left w:val="none" w:sz="0" w:space="0" w:color="auto"/>
                                                <w:bottom w:val="none" w:sz="0" w:space="0" w:color="auto"/>
                                                <w:right w:val="none" w:sz="0" w:space="0" w:color="auto"/>
                                              </w:divBdr>
                                              <w:divsChild>
                                                <w:div w:id="1085877811">
                                                  <w:marLeft w:val="0"/>
                                                  <w:marRight w:val="0"/>
                                                  <w:marTop w:val="0"/>
                                                  <w:marBottom w:val="0"/>
                                                  <w:divBdr>
                                                    <w:top w:val="none" w:sz="0" w:space="0" w:color="auto"/>
                                                    <w:left w:val="none" w:sz="0" w:space="0" w:color="auto"/>
                                                    <w:bottom w:val="none" w:sz="0" w:space="0" w:color="auto"/>
                                                    <w:right w:val="none" w:sz="0" w:space="0" w:color="auto"/>
                                                  </w:divBdr>
                                                  <w:divsChild>
                                                    <w:div w:id="1965310982">
                                                      <w:marLeft w:val="0"/>
                                                      <w:marRight w:val="0"/>
                                                      <w:marTop w:val="0"/>
                                                      <w:marBottom w:val="0"/>
                                                      <w:divBdr>
                                                        <w:top w:val="none" w:sz="0" w:space="0" w:color="auto"/>
                                                        <w:left w:val="none" w:sz="0" w:space="0" w:color="auto"/>
                                                        <w:bottom w:val="none" w:sz="0" w:space="0" w:color="auto"/>
                                                        <w:right w:val="none" w:sz="0" w:space="0" w:color="auto"/>
                                                      </w:divBdr>
                                                      <w:divsChild>
                                                        <w:div w:id="650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1348</Words>
  <Characters>7957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Hlízov</dc:creator>
  <cp:keywords/>
  <dc:description/>
  <cp:lastModifiedBy>Obec Hlízov</cp:lastModifiedBy>
  <cp:revision>12</cp:revision>
  <cp:lastPrinted>2023-09-21T08:36:00Z</cp:lastPrinted>
  <dcterms:created xsi:type="dcterms:W3CDTF">2023-09-12T05:25:00Z</dcterms:created>
  <dcterms:modified xsi:type="dcterms:W3CDTF">2023-09-27T17:57:00Z</dcterms:modified>
</cp:coreProperties>
</file>